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F9BDF" w14:textId="74CE0E61" w:rsidR="009167FF" w:rsidRPr="007871B4" w:rsidRDefault="009167FF" w:rsidP="009167FF">
      <w:pPr>
        <w:spacing w:before="37"/>
        <w:rPr>
          <w:b/>
          <w:bCs/>
          <w:iCs/>
          <w:sz w:val="24"/>
          <w:szCs w:val="24"/>
        </w:rPr>
      </w:pPr>
      <w:r w:rsidRPr="007871B4">
        <w:rPr>
          <w:b/>
          <w:bCs/>
          <w:iCs/>
          <w:sz w:val="24"/>
          <w:szCs w:val="24"/>
        </w:rPr>
        <w:t>eISSN:</w:t>
      </w:r>
      <w:r w:rsidRPr="007871B4">
        <w:rPr>
          <w:b/>
          <w:bCs/>
          <w:iCs/>
          <w:spacing w:val="-5"/>
          <w:sz w:val="24"/>
          <w:szCs w:val="24"/>
        </w:rPr>
        <w:t xml:space="preserve"> </w:t>
      </w:r>
      <w:r w:rsidR="005F37E4" w:rsidRPr="005F37E4">
        <w:rPr>
          <w:b/>
          <w:bCs/>
          <w:iCs/>
          <w:sz w:val="24"/>
          <w:szCs w:val="24"/>
        </w:rPr>
        <w:t>3087-4289</w:t>
      </w:r>
      <w:r w:rsidRPr="007871B4">
        <w:rPr>
          <w:b/>
          <w:bCs/>
          <w:iCs/>
          <w:spacing w:val="-5"/>
          <w:sz w:val="24"/>
          <w:szCs w:val="24"/>
        </w:rPr>
        <w:t xml:space="preserve"> </w:t>
      </w:r>
    </w:p>
    <w:p w14:paraId="7840E532" w14:textId="77777777" w:rsidR="004644D6" w:rsidRDefault="004644D6" w:rsidP="009167FF">
      <w:pPr>
        <w:spacing w:before="45"/>
        <w:rPr>
          <w:iCs/>
          <w:sz w:val="24"/>
          <w:szCs w:val="24"/>
        </w:rPr>
        <w:sectPr w:rsidR="004644D6" w:rsidSect="000D4237">
          <w:headerReference w:type="default" r:id="rId8"/>
          <w:footerReference w:type="default" r:id="rId9"/>
          <w:type w:val="continuous"/>
          <w:pgSz w:w="11910" w:h="16840"/>
          <w:pgMar w:top="580" w:right="850" w:bottom="820" w:left="850" w:header="432" w:footer="632" w:gutter="0"/>
          <w:pgNumType w:start="1"/>
          <w:cols w:num="2" w:space="720" w:equalWidth="0">
            <w:col w:w="5001" w:space="101"/>
            <w:col w:w="5108"/>
          </w:cols>
          <w:docGrid w:linePitch="299"/>
        </w:sectPr>
      </w:pPr>
    </w:p>
    <w:p w14:paraId="6CA5A8EC" w14:textId="08733C5E" w:rsidR="004644D6" w:rsidRDefault="004644D6" w:rsidP="009167FF">
      <w:pPr>
        <w:spacing w:before="45"/>
        <w:rPr>
          <w:iCs/>
          <w:sz w:val="24"/>
          <w:szCs w:val="24"/>
        </w:rPr>
        <w:sectPr w:rsidR="004644D6" w:rsidSect="004644D6">
          <w:type w:val="continuous"/>
          <w:pgSz w:w="11910" w:h="16840"/>
          <w:pgMar w:top="580" w:right="850" w:bottom="820" w:left="850" w:header="432" w:footer="632" w:gutter="0"/>
          <w:cols w:space="101"/>
          <w:docGrid w:linePitch="299"/>
        </w:sectPr>
      </w:pPr>
      <w:r w:rsidRPr="007871B4">
        <w:rPr>
          <w:b/>
          <w:bCs/>
          <w:iCs/>
          <w:noProof/>
          <w:color w:val="244061" w:themeColor="accent1" w:themeShade="80"/>
          <w:sz w:val="24"/>
          <w:szCs w:val="24"/>
        </w:rPr>
        <mc:AlternateContent>
          <mc:Choice Requires="wps">
            <w:drawing>
              <wp:anchor distT="0" distB="0" distL="114300" distR="114300" simplePos="0" relativeHeight="251659264" behindDoc="0" locked="0" layoutInCell="1" allowOverlap="1" wp14:anchorId="6DA26B9C" wp14:editId="63F23ACA">
                <wp:simplePos x="0" y="0"/>
                <wp:positionH relativeFrom="column">
                  <wp:posOffset>4832350</wp:posOffset>
                </wp:positionH>
                <wp:positionV relativeFrom="paragraph">
                  <wp:posOffset>-654685</wp:posOffset>
                </wp:positionV>
                <wp:extent cx="1753235" cy="692150"/>
                <wp:effectExtent l="0" t="0" r="0" b="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3235" cy="692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3F035F" w14:textId="21230EE9" w:rsidR="009167FF" w:rsidRPr="00AF1905" w:rsidRDefault="004644D6" w:rsidP="009167FF">
                            <w:pPr>
                              <w:jc w:val="right"/>
                              <w:rPr>
                                <w:b/>
                                <w:color w:val="C0504D" w:themeColor="accent2"/>
                                <w:sz w:val="18"/>
                                <w:szCs w:val="18"/>
                              </w:rPr>
                            </w:pPr>
                            <w:r>
                              <w:rPr>
                                <w:noProof/>
                              </w:rPr>
                              <w:drawing>
                                <wp:inline distT="0" distB="0" distL="0" distR="0" wp14:anchorId="51DA0DC4" wp14:editId="22F08C1E">
                                  <wp:extent cx="1689100" cy="527037"/>
                                  <wp:effectExtent l="0" t="0" r="0" b="6985"/>
                                  <wp:docPr id="1570291640" name="Picture 1" descr="The Pinnacle International Journa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Pinnacle International Journals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08221" cy="53300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A26B9C" id="Rectangle 3" o:spid="_x0000_s1026" style="position:absolute;margin-left:380.5pt;margin-top:-51.55pt;width:138.05pt;height: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DQb7gEAAMADAAAOAAAAZHJzL2Uyb0RvYy54bWysU8tu2zAQvBfoPxC817IUO2kEy0HgwEWB&#10;9AGk+QCKoiSiFJdd0pbcr++SdhyjuRXVgdjlLoc7w9HqbhoM2yv0GmzF89mcM2UlNNp2FX/+sf3w&#10;kTMfhG2EAasqflCe363fv1uNrlQF9GAahYxArC9HV/E+BFdmmZe9GoSfgVOWii3gIAKl2GUNipHQ&#10;B5MV8/l1NgI2DkEq72n34Vjk64TftkqGb23rVWCm4jRbSCumtY5rtl6JskPhei1PY4h/mGIQ2tKl&#10;Z6gHEQTboX4DNWiJ4KENMwlDBm2rpUociE0+/4vNUy+cSlxIHO/OMvn/Byu/7p/cd4yje/cI8qdn&#10;Fja9sJ26R4SxV6Kh6/IoVDY6X54PxMTTUVaPX6ChpxW7AEmDqcUhAhI7NiWpD2ep1RSYpM38ZnlV&#10;XC05k1S7vi3yZXqLTJQvpx368EnBwGJQcaSnTOhi/+hDnEaULy1pejC62WpjUoJdvTHI9oKefZu+&#10;RIBIXrYZG5stxGNHxLiTaEZm0US+DFM9UTGGNTQHIoxwtBHZnoIe8DdnI1mo4v7XTqDizHy2JNpt&#10;vlhEz6VksbwpKMHLSn1ZEVYSVMUDZ8dwE44+3TnUXU835Ym/hXsSutVJg9epTnOTTZI0J0tHH17m&#10;qev1x1v/AQAA//8DAFBLAwQUAAYACAAAACEAF+3yCuAAAAALAQAADwAAAGRycy9kb3ducmV2Lnht&#10;bEyPwU7DMBBE70j8g7VI3Fo7hKZtGqdCSD0BB1okrtt4m0TE6xA7bfh73BPcZjWj2TfFdrKdONPg&#10;W8cakrkCQVw503Kt4eOwm61A+IBssHNMGn7Iw7a8vSkwN+7C73Teh1rEEvY5amhC6HMpfdWQRT93&#10;PXH0Tm6wGOI51NIMeInltpMPSmXSYsvxQ4M9PTdUfe1HqwGzR/P9dkpfDy9jhut6UrvFp9L6/m56&#10;2oAINIW/MFzxIzqUkenoRjZedBqWWRK3BA2zRKUJiGtEpcuojhoWa5BlIf9vKH8BAAD//wMAUEsB&#10;Ai0AFAAGAAgAAAAhALaDOJL+AAAA4QEAABMAAAAAAAAAAAAAAAAAAAAAAFtDb250ZW50X1R5cGVz&#10;XS54bWxQSwECLQAUAAYACAAAACEAOP0h/9YAAACUAQAACwAAAAAAAAAAAAAAAAAvAQAAX3JlbHMv&#10;LnJlbHNQSwECLQAUAAYACAAAACEAJXw0G+4BAADAAwAADgAAAAAAAAAAAAAAAAAuAgAAZHJzL2Uy&#10;b0RvYy54bWxQSwECLQAUAAYACAAAACEAF+3yCuAAAAALAQAADwAAAAAAAAAAAAAAAABIBAAAZHJz&#10;L2Rvd25yZXYueG1sUEsFBgAAAAAEAAQA8wAAAFUFAAAAAA==&#10;" stroked="f">
                <v:textbox>
                  <w:txbxContent>
                    <w:p w14:paraId="0D3F035F" w14:textId="21230EE9" w:rsidR="009167FF" w:rsidRPr="00AF1905" w:rsidRDefault="004644D6" w:rsidP="009167FF">
                      <w:pPr>
                        <w:jc w:val="right"/>
                        <w:rPr>
                          <w:b/>
                          <w:color w:val="C0504D" w:themeColor="accent2"/>
                          <w:sz w:val="18"/>
                          <w:szCs w:val="18"/>
                        </w:rPr>
                      </w:pPr>
                      <w:r>
                        <w:rPr>
                          <w:noProof/>
                        </w:rPr>
                        <w:drawing>
                          <wp:inline distT="0" distB="0" distL="0" distR="0" wp14:anchorId="51DA0DC4" wp14:editId="22F08C1E">
                            <wp:extent cx="1689100" cy="527037"/>
                            <wp:effectExtent l="0" t="0" r="0" b="6985"/>
                            <wp:docPr id="1570291640" name="Picture 1" descr="The Pinnacle International Journa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Pinnacle International Journals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08221" cy="533003"/>
                                    </a:xfrm>
                                    <a:prstGeom prst="rect">
                                      <a:avLst/>
                                    </a:prstGeom>
                                    <a:noFill/>
                                    <a:ln>
                                      <a:noFill/>
                                    </a:ln>
                                  </pic:spPr>
                                </pic:pic>
                              </a:graphicData>
                            </a:graphic>
                          </wp:inline>
                        </w:drawing>
                      </w:r>
                    </w:p>
                  </w:txbxContent>
                </v:textbox>
              </v:rect>
            </w:pict>
          </mc:Fallback>
        </mc:AlternateContent>
      </w:r>
      <w:r w:rsidRPr="004026F5">
        <w:rPr>
          <w:iCs/>
          <w:noProof/>
          <w:sz w:val="24"/>
          <w:szCs w:val="24"/>
        </w:rPr>
        <mc:AlternateContent>
          <mc:Choice Requires="wps">
            <w:drawing>
              <wp:anchor distT="0" distB="0" distL="114300" distR="114300" simplePos="0" relativeHeight="251660288" behindDoc="1" locked="0" layoutInCell="1" allowOverlap="1" wp14:anchorId="30BFBF66" wp14:editId="75ED73CC">
                <wp:simplePos x="0" y="0"/>
                <wp:positionH relativeFrom="margin">
                  <wp:posOffset>0</wp:posOffset>
                </wp:positionH>
                <wp:positionV relativeFrom="page">
                  <wp:posOffset>990600</wp:posOffset>
                </wp:positionV>
                <wp:extent cx="6350000" cy="25400"/>
                <wp:effectExtent l="0" t="0" r="31750" b="31750"/>
                <wp:wrapNone/>
                <wp:docPr id="136419511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0000" cy="2540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111DD4" id="Straight Connector 1"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0,78pt" to="500pt,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fbswAEAAG8DAAAOAAAAZHJzL2Uyb0RvYy54bWysU01v2zAMvQ/YfxB0X+xkazEYcXpI1l26&#10;LUC73RlZtoXJoiAqsfPvJ8pp9nUr6oNAiuQj3xO9vpsGK046kEFXy+WilEI7hY1xXS2/P92/+ygF&#10;RXANWHS6lmdN8m7z9s169JVeYY+20UEkEEfV6GvZx+iroiDV6wFogV67FGwxDBCTG7qiCTAm9MEW&#10;q7K8LUYMjQ+oNFG63c1Bucn4batV/Na2pKOwtUyzxXyGfB74LDZrqLoAvjfqMga8YIoBjEtNr1A7&#10;iCCOwfwHNRgVkLCNC4VDgW1rlM4cEptl+Q+bxx68zlySOOSvMtHrwaqvp63bBx5dTe7RP6D6ScLh&#10;tgfX6TzA09mnh1uyVMXoqbqWsEN+H8Rh/IJNyoFjxKzC1IZBtNb4H1zI4ImpmLLs56vseopCpcvb&#10;9zdl+qRQKba6+ZBM7gUVw3CxDxQ/axwEG7W0xrEqUMHpgeKc+pzC1w7vjbX5Za0T49wgFxBa03CQ&#10;0yh0h60N4gS8G/m79P0rjZF3QP2cl0Pz1gQ8uiZ36TU0ny52BGNnOxGw7qIZy8Q7SdUBm/M+8NDs&#10;pVfNTC8byGvzp5+zfv8nm18AAAD//wMAUEsDBBQABgAIAAAAIQCVXOT83AAAAAkBAAAPAAAAZHJz&#10;L2Rvd25yZXYueG1sTE9NS8NAEL0L/Q/LFLzZjVVjidmUUhVEELEVvE6zY5I2Oxuymzb+e6cnndOb&#10;ecP7yJeja9WR+tB4NnA9S0ARl942XBn43D5fLUCFiGyx9UwGfijAsphc5JhZf+IPOm5ipUSEQ4YG&#10;6hi7TOtQ1uQwzHxHLNy37x1GWftK2x5PIu5aPU+SVDtsWBxq7GhdU3nYDM7A+7y66Z7s9nD79lq+&#10;3C/Gx9XXsDfmcjquHkBFGuPfM5zjS3QoJNPOD2yDag1IkSjXu1TAmU5kQO0EpQJ0kev/DYpfAAAA&#10;//8DAFBLAQItABQABgAIAAAAIQC2gziS/gAAAOEBAAATAAAAAAAAAAAAAAAAAAAAAABbQ29udGVu&#10;dF9UeXBlc10ueG1sUEsBAi0AFAAGAAgAAAAhADj9If/WAAAAlAEAAAsAAAAAAAAAAAAAAAAALwEA&#10;AF9yZWxzLy5yZWxzUEsBAi0AFAAGAAgAAAAhAE8h9uzAAQAAbwMAAA4AAAAAAAAAAAAAAAAALgIA&#10;AGRycy9lMm9Eb2MueG1sUEsBAi0AFAAGAAgAAAAhAJVc5PzcAAAACQEAAA8AAAAAAAAAAAAAAAAA&#10;GgQAAGRycy9kb3ducmV2LnhtbFBLBQYAAAAABAAEAPMAAAAjBQAAAAA=&#10;" strokeweight=".5pt">
                <w10:wrap anchorx="margin" anchory="page"/>
              </v:line>
            </w:pict>
          </mc:Fallback>
        </mc:AlternateContent>
      </w:r>
      <w:r w:rsidR="009167FF" w:rsidRPr="004026F5">
        <w:rPr>
          <w:iCs/>
          <w:sz w:val="24"/>
          <w:szCs w:val="24"/>
        </w:rPr>
        <w:t>Volume.</w:t>
      </w:r>
      <w:r w:rsidR="009167FF" w:rsidRPr="004026F5">
        <w:rPr>
          <w:iCs/>
          <w:spacing w:val="-2"/>
          <w:sz w:val="24"/>
          <w:szCs w:val="24"/>
        </w:rPr>
        <w:t xml:space="preserve"> 0</w:t>
      </w:r>
      <w:r w:rsidR="00CB204C">
        <w:rPr>
          <w:iCs/>
          <w:sz w:val="24"/>
          <w:szCs w:val="24"/>
        </w:rPr>
        <w:t>3</w:t>
      </w:r>
      <w:r w:rsidR="009167FF" w:rsidRPr="004026F5">
        <w:rPr>
          <w:iCs/>
          <w:sz w:val="24"/>
          <w:szCs w:val="24"/>
        </w:rPr>
        <w:t>,</w:t>
      </w:r>
      <w:r w:rsidR="009167FF" w:rsidRPr="004026F5">
        <w:rPr>
          <w:iCs/>
          <w:spacing w:val="-2"/>
          <w:sz w:val="24"/>
          <w:szCs w:val="24"/>
        </w:rPr>
        <w:t xml:space="preserve"> </w:t>
      </w:r>
      <w:r w:rsidR="009167FF" w:rsidRPr="004026F5">
        <w:rPr>
          <w:iCs/>
          <w:sz w:val="24"/>
          <w:szCs w:val="24"/>
        </w:rPr>
        <w:t>Issue.</w:t>
      </w:r>
      <w:r w:rsidR="009167FF" w:rsidRPr="004026F5">
        <w:rPr>
          <w:iCs/>
          <w:spacing w:val="-2"/>
          <w:sz w:val="24"/>
          <w:szCs w:val="24"/>
        </w:rPr>
        <w:t xml:space="preserve"> </w:t>
      </w:r>
      <w:r w:rsidR="00CB204C">
        <w:rPr>
          <w:iCs/>
          <w:spacing w:val="-2"/>
          <w:sz w:val="24"/>
          <w:szCs w:val="24"/>
        </w:rPr>
        <w:t>0</w:t>
      </w:r>
      <w:r w:rsidR="00DE678F">
        <w:rPr>
          <w:iCs/>
          <w:spacing w:val="-2"/>
          <w:sz w:val="24"/>
          <w:szCs w:val="24"/>
        </w:rPr>
        <w:t>6</w:t>
      </w:r>
      <w:r w:rsidR="009167FF" w:rsidRPr="004026F5">
        <w:rPr>
          <w:iCs/>
          <w:sz w:val="24"/>
          <w:szCs w:val="24"/>
        </w:rPr>
        <w:t>,</w:t>
      </w:r>
      <w:r w:rsidR="009167FF" w:rsidRPr="004026F5">
        <w:rPr>
          <w:iCs/>
          <w:spacing w:val="-2"/>
          <w:sz w:val="24"/>
          <w:szCs w:val="24"/>
        </w:rPr>
        <w:t xml:space="preserve"> </w:t>
      </w:r>
      <w:r w:rsidR="009167FF" w:rsidRPr="004026F5">
        <w:rPr>
          <w:iCs/>
          <w:sz w:val="24"/>
          <w:szCs w:val="24"/>
        </w:rPr>
        <w:t>pp.</w:t>
      </w:r>
      <w:r w:rsidR="009167FF" w:rsidRPr="004026F5">
        <w:rPr>
          <w:iCs/>
          <w:spacing w:val="-2"/>
          <w:sz w:val="24"/>
          <w:szCs w:val="24"/>
        </w:rPr>
        <w:t xml:space="preserve"> </w:t>
      </w:r>
      <w:r w:rsidR="00061306">
        <w:rPr>
          <w:iCs/>
          <w:sz w:val="24"/>
          <w:szCs w:val="24"/>
        </w:rPr>
        <w:t>01</w:t>
      </w:r>
      <w:r w:rsidR="009167FF" w:rsidRPr="004026F5">
        <w:rPr>
          <w:iCs/>
          <w:sz w:val="24"/>
          <w:szCs w:val="24"/>
        </w:rPr>
        <w:t>-</w:t>
      </w:r>
      <w:r w:rsidR="000D4237">
        <w:rPr>
          <w:iCs/>
          <w:sz w:val="24"/>
          <w:szCs w:val="24"/>
        </w:rPr>
        <w:t>0</w:t>
      </w:r>
      <w:r w:rsidR="00DE678F">
        <w:rPr>
          <w:iCs/>
          <w:sz w:val="24"/>
          <w:szCs w:val="24"/>
        </w:rPr>
        <w:t>7</w:t>
      </w:r>
      <w:r w:rsidR="009167FF" w:rsidRPr="004026F5">
        <w:rPr>
          <w:iCs/>
          <w:sz w:val="24"/>
          <w:szCs w:val="24"/>
        </w:rPr>
        <w:t>,</w:t>
      </w:r>
      <w:r w:rsidR="009167FF" w:rsidRPr="004026F5">
        <w:rPr>
          <w:iCs/>
          <w:spacing w:val="-2"/>
          <w:sz w:val="24"/>
          <w:szCs w:val="24"/>
        </w:rPr>
        <w:t xml:space="preserve"> </w:t>
      </w:r>
      <w:r w:rsidR="00DE678F">
        <w:rPr>
          <w:iCs/>
          <w:sz w:val="24"/>
          <w:szCs w:val="24"/>
        </w:rPr>
        <w:t>June</w:t>
      </w:r>
      <w:r w:rsidR="009167FF" w:rsidRPr="004026F5">
        <w:rPr>
          <w:iCs/>
          <w:sz w:val="24"/>
          <w:szCs w:val="24"/>
        </w:rPr>
        <w:t xml:space="preserve"> 202</w:t>
      </w:r>
      <w:r w:rsidR="00CB204C">
        <w:rPr>
          <w:iCs/>
          <w:sz w:val="24"/>
          <w:szCs w:val="24"/>
        </w:rPr>
        <w:t>6</w:t>
      </w:r>
      <w:r w:rsidR="009167FF" w:rsidRPr="004026F5">
        <w:rPr>
          <w:iCs/>
          <w:sz w:val="24"/>
          <w:szCs w:val="24"/>
        </w:rPr>
        <w:t>"</w:t>
      </w:r>
    </w:p>
    <w:p w14:paraId="559B92A7" w14:textId="7613FF95" w:rsidR="009167FF" w:rsidRDefault="009167FF" w:rsidP="009167FF">
      <w:pPr>
        <w:spacing w:before="45"/>
        <w:rPr>
          <w:iCs/>
          <w:sz w:val="24"/>
          <w:szCs w:val="24"/>
        </w:rPr>
      </w:pPr>
    </w:p>
    <w:p w14:paraId="4C55E5F0" w14:textId="14D73E4A" w:rsidR="009167FF" w:rsidRPr="004026F5" w:rsidRDefault="009167FF" w:rsidP="009167FF">
      <w:pPr>
        <w:spacing w:before="45"/>
        <w:rPr>
          <w:iCs/>
          <w:sz w:val="24"/>
          <w:szCs w:val="24"/>
        </w:rPr>
      </w:pPr>
      <w:r>
        <w:rPr>
          <w:iCs/>
          <w:sz w:val="24"/>
          <w:szCs w:val="24"/>
        </w:rPr>
        <w:t xml:space="preserve"> </w:t>
      </w:r>
    </w:p>
    <w:p w14:paraId="0DF10648" w14:textId="77777777" w:rsidR="009167FF" w:rsidRDefault="009167FF" w:rsidP="009167FF">
      <w:pPr>
        <w:pStyle w:val="Title"/>
        <w:spacing w:line="259" w:lineRule="auto"/>
        <w:jc w:val="center"/>
        <w:rPr>
          <w:rFonts w:asciiTheme="majorBidi" w:hAnsiTheme="majorBidi" w:cstheme="majorBidi"/>
          <w:sz w:val="28"/>
          <w:szCs w:val="28"/>
        </w:rPr>
        <w:sectPr w:rsidR="009167FF" w:rsidSect="009167FF">
          <w:type w:val="continuous"/>
          <w:pgSz w:w="11910" w:h="16840"/>
          <w:pgMar w:top="580" w:right="850" w:bottom="820" w:left="850" w:header="432" w:footer="632" w:gutter="0"/>
          <w:cols w:num="2" w:space="720" w:equalWidth="0">
            <w:col w:w="5001" w:space="101"/>
            <w:col w:w="5108"/>
          </w:cols>
          <w:docGrid w:linePitch="299"/>
        </w:sectPr>
      </w:pPr>
    </w:p>
    <w:p w14:paraId="1662F6CA" w14:textId="6DD0212B" w:rsidR="009167FF" w:rsidRPr="009167FF" w:rsidRDefault="00DE678F" w:rsidP="009167FF">
      <w:pPr>
        <w:pStyle w:val="Title"/>
        <w:spacing w:line="259" w:lineRule="auto"/>
        <w:jc w:val="center"/>
        <w:rPr>
          <w:rFonts w:asciiTheme="majorBidi" w:hAnsiTheme="majorBidi" w:cstheme="majorBidi"/>
          <w:b/>
          <w:bCs/>
          <w:sz w:val="28"/>
          <w:szCs w:val="28"/>
        </w:rPr>
      </w:pPr>
      <w:r w:rsidRPr="00DE678F">
        <w:rPr>
          <w:rFonts w:asciiTheme="majorBidi" w:hAnsiTheme="majorBidi" w:cstheme="majorBidi"/>
          <w:b/>
          <w:bCs/>
          <w:sz w:val="28"/>
          <w:szCs w:val="28"/>
        </w:rPr>
        <w:t>Hybrid Neural Network Architecture for Accurate Forecasting of Crude Oil Prices in Volatile Energy Markets</w:t>
      </w:r>
    </w:p>
    <w:p w14:paraId="22126212" w14:textId="7DD22091" w:rsidR="008F5DFC" w:rsidRDefault="008F5DFC" w:rsidP="009167FF">
      <w:pPr>
        <w:jc w:val="center"/>
        <w:rPr>
          <w:rFonts w:asciiTheme="majorBidi" w:hAnsiTheme="majorBidi" w:cstheme="majorBidi"/>
        </w:rPr>
      </w:pPr>
    </w:p>
    <w:p w14:paraId="0138678C" w14:textId="77777777" w:rsidR="002E6306" w:rsidRDefault="002E6306" w:rsidP="009167FF">
      <w:pPr>
        <w:jc w:val="center"/>
        <w:rPr>
          <w:rFonts w:asciiTheme="majorBidi" w:hAnsiTheme="majorBidi" w:cstheme="majorBidi"/>
        </w:rPr>
      </w:pPr>
    </w:p>
    <w:p w14:paraId="1A7E3907" w14:textId="77777777" w:rsidR="00DE678F" w:rsidRPr="00DE678F" w:rsidRDefault="00DE678F" w:rsidP="00DE678F">
      <w:pPr>
        <w:jc w:val="center"/>
        <w:rPr>
          <w:rFonts w:asciiTheme="majorBidi" w:hAnsiTheme="majorBidi" w:cstheme="majorBidi"/>
          <w:b/>
          <w:bCs/>
          <w:sz w:val="20"/>
          <w:szCs w:val="20"/>
        </w:rPr>
      </w:pPr>
      <w:r w:rsidRPr="00DE678F">
        <w:rPr>
          <w:rFonts w:asciiTheme="majorBidi" w:hAnsiTheme="majorBidi" w:cstheme="majorBidi"/>
          <w:b/>
          <w:bCs/>
          <w:sz w:val="20"/>
          <w:szCs w:val="20"/>
        </w:rPr>
        <w:t>Dr. Jack Thompson</w:t>
      </w:r>
    </w:p>
    <w:p w14:paraId="775E814E" w14:textId="77777777" w:rsidR="00DE678F" w:rsidRPr="00DE678F" w:rsidRDefault="00DE678F" w:rsidP="00DE678F">
      <w:pPr>
        <w:jc w:val="center"/>
        <w:rPr>
          <w:rFonts w:asciiTheme="majorBidi" w:hAnsiTheme="majorBidi" w:cstheme="majorBidi"/>
          <w:sz w:val="20"/>
          <w:szCs w:val="20"/>
        </w:rPr>
      </w:pPr>
      <w:r w:rsidRPr="00DE678F">
        <w:rPr>
          <w:rFonts w:asciiTheme="majorBidi" w:hAnsiTheme="majorBidi" w:cstheme="majorBidi"/>
          <w:sz w:val="20"/>
          <w:szCs w:val="20"/>
        </w:rPr>
        <w:t xml:space="preserve">School of Economics University of Melbourne, Melbourne, Australia </w:t>
      </w:r>
    </w:p>
    <w:p w14:paraId="4C4086F2" w14:textId="77777777" w:rsidR="00DE678F" w:rsidRDefault="00DE678F" w:rsidP="00DE678F">
      <w:pPr>
        <w:jc w:val="center"/>
        <w:rPr>
          <w:rFonts w:asciiTheme="majorBidi" w:hAnsiTheme="majorBidi" w:cstheme="majorBidi"/>
          <w:b/>
          <w:bCs/>
          <w:sz w:val="20"/>
          <w:szCs w:val="20"/>
        </w:rPr>
      </w:pPr>
    </w:p>
    <w:p w14:paraId="7F937D46" w14:textId="42798DC5" w:rsidR="00DE678F" w:rsidRPr="00DE678F" w:rsidRDefault="00DE678F" w:rsidP="00DE678F">
      <w:pPr>
        <w:jc w:val="center"/>
        <w:rPr>
          <w:rFonts w:asciiTheme="majorBidi" w:hAnsiTheme="majorBidi" w:cstheme="majorBidi"/>
          <w:b/>
          <w:bCs/>
          <w:sz w:val="20"/>
          <w:szCs w:val="20"/>
        </w:rPr>
      </w:pPr>
      <w:r w:rsidRPr="00DE678F">
        <w:rPr>
          <w:rFonts w:asciiTheme="majorBidi" w:hAnsiTheme="majorBidi" w:cstheme="majorBidi"/>
          <w:b/>
          <w:bCs/>
          <w:sz w:val="20"/>
          <w:szCs w:val="20"/>
        </w:rPr>
        <w:t>Dr. Mia Johnson</w:t>
      </w:r>
    </w:p>
    <w:p w14:paraId="705EF931" w14:textId="5839F504" w:rsidR="00061306" w:rsidRPr="00DE678F" w:rsidRDefault="00DE678F" w:rsidP="00DE678F">
      <w:pPr>
        <w:jc w:val="center"/>
        <w:rPr>
          <w:rFonts w:asciiTheme="majorBidi" w:hAnsiTheme="majorBidi" w:cstheme="majorBidi"/>
          <w:sz w:val="20"/>
          <w:szCs w:val="20"/>
        </w:rPr>
      </w:pPr>
      <w:r w:rsidRPr="00DE678F">
        <w:rPr>
          <w:rFonts w:asciiTheme="majorBidi" w:hAnsiTheme="majorBidi" w:cstheme="majorBidi"/>
          <w:sz w:val="20"/>
          <w:szCs w:val="20"/>
        </w:rPr>
        <w:t>Department of Data Science University of Sydney, Sydney, Australia</w:t>
      </w:r>
    </w:p>
    <w:p w14:paraId="53826D4F" w14:textId="77777777" w:rsidR="005F37E4" w:rsidRPr="009C48F0" w:rsidRDefault="005F37E4" w:rsidP="005F37E4">
      <w:pPr>
        <w:jc w:val="center"/>
        <w:rPr>
          <w:rFonts w:asciiTheme="majorBidi" w:hAnsiTheme="majorBidi" w:cstheme="majorBidi"/>
        </w:rPr>
      </w:pPr>
    </w:p>
    <w:p w14:paraId="47FDE9D9" w14:textId="77777777" w:rsidR="009167FF" w:rsidRPr="009167FF" w:rsidRDefault="009167FF" w:rsidP="009167FF">
      <w:pPr>
        <w:jc w:val="center"/>
        <w:rPr>
          <w:rFonts w:asciiTheme="majorBidi" w:hAnsiTheme="majorBidi" w:cstheme="majorBidi"/>
        </w:rPr>
      </w:pPr>
    </w:p>
    <w:p w14:paraId="7300F3B5" w14:textId="0C158693" w:rsidR="009167FF" w:rsidRPr="009167FF" w:rsidRDefault="009167FF" w:rsidP="009167FF">
      <w:pPr>
        <w:jc w:val="both"/>
        <w:rPr>
          <w:rFonts w:asciiTheme="majorBidi" w:hAnsiTheme="majorBidi" w:cstheme="majorBidi"/>
          <w:sz w:val="20"/>
          <w:szCs w:val="20"/>
        </w:rPr>
      </w:pPr>
      <w:r w:rsidRPr="009167FF">
        <w:rPr>
          <w:rFonts w:asciiTheme="majorBidi" w:hAnsiTheme="majorBidi" w:cstheme="majorBidi"/>
          <w:sz w:val="20"/>
          <w:szCs w:val="20"/>
        </w:rPr>
        <w:t xml:space="preserve">Article received: </w:t>
      </w:r>
      <w:r w:rsidR="00061306">
        <w:rPr>
          <w:rFonts w:asciiTheme="majorBidi" w:hAnsiTheme="majorBidi" w:cstheme="majorBidi"/>
          <w:sz w:val="20"/>
          <w:szCs w:val="20"/>
        </w:rPr>
        <w:t>2</w:t>
      </w:r>
      <w:r w:rsidR="00F62476">
        <w:rPr>
          <w:rFonts w:asciiTheme="majorBidi" w:hAnsiTheme="majorBidi" w:cstheme="majorBidi"/>
          <w:sz w:val="20"/>
          <w:szCs w:val="20"/>
        </w:rPr>
        <w:t>0</w:t>
      </w:r>
      <w:r w:rsidRPr="009167FF">
        <w:rPr>
          <w:rFonts w:asciiTheme="majorBidi" w:hAnsiTheme="majorBidi" w:cstheme="majorBidi"/>
          <w:sz w:val="20"/>
          <w:szCs w:val="20"/>
        </w:rPr>
        <w:t>/</w:t>
      </w:r>
      <w:r w:rsidR="00F24D59">
        <w:rPr>
          <w:rFonts w:asciiTheme="majorBidi" w:hAnsiTheme="majorBidi" w:cstheme="majorBidi"/>
          <w:sz w:val="20"/>
          <w:szCs w:val="20"/>
        </w:rPr>
        <w:t>0</w:t>
      </w:r>
      <w:r w:rsidR="00DE678F">
        <w:rPr>
          <w:rFonts w:asciiTheme="majorBidi" w:hAnsiTheme="majorBidi" w:cstheme="majorBidi"/>
          <w:sz w:val="20"/>
          <w:szCs w:val="20"/>
        </w:rPr>
        <w:t>4</w:t>
      </w:r>
      <w:r w:rsidRPr="009167FF">
        <w:rPr>
          <w:rFonts w:asciiTheme="majorBidi" w:hAnsiTheme="majorBidi" w:cstheme="majorBidi"/>
          <w:sz w:val="20"/>
          <w:szCs w:val="20"/>
        </w:rPr>
        <w:t>/202</w:t>
      </w:r>
      <w:r w:rsidR="00CB204C">
        <w:rPr>
          <w:rFonts w:asciiTheme="majorBidi" w:hAnsiTheme="majorBidi" w:cstheme="majorBidi"/>
          <w:sz w:val="20"/>
          <w:szCs w:val="20"/>
        </w:rPr>
        <w:t>6</w:t>
      </w:r>
      <w:r w:rsidRPr="009167FF">
        <w:rPr>
          <w:rFonts w:asciiTheme="majorBidi" w:hAnsiTheme="majorBidi" w:cstheme="majorBidi"/>
          <w:sz w:val="20"/>
          <w:szCs w:val="20"/>
        </w:rPr>
        <w:t xml:space="preserve">, Article Revised: </w:t>
      </w:r>
      <w:r w:rsidR="00061306">
        <w:rPr>
          <w:rFonts w:asciiTheme="majorBidi" w:hAnsiTheme="majorBidi" w:cstheme="majorBidi"/>
          <w:sz w:val="20"/>
          <w:szCs w:val="20"/>
        </w:rPr>
        <w:t>1</w:t>
      </w:r>
      <w:r w:rsidR="00BA176C">
        <w:rPr>
          <w:rFonts w:asciiTheme="majorBidi" w:hAnsiTheme="majorBidi" w:cstheme="majorBidi"/>
          <w:sz w:val="20"/>
          <w:szCs w:val="20"/>
        </w:rPr>
        <w:t>1</w:t>
      </w:r>
      <w:r w:rsidRPr="009167FF">
        <w:rPr>
          <w:rFonts w:asciiTheme="majorBidi" w:hAnsiTheme="majorBidi" w:cstheme="majorBidi"/>
          <w:sz w:val="20"/>
          <w:szCs w:val="20"/>
        </w:rPr>
        <w:t>/</w:t>
      </w:r>
      <w:r w:rsidR="00A25114">
        <w:rPr>
          <w:rFonts w:asciiTheme="majorBidi" w:hAnsiTheme="majorBidi" w:cstheme="majorBidi"/>
          <w:sz w:val="20"/>
          <w:szCs w:val="20"/>
        </w:rPr>
        <w:t>0</w:t>
      </w:r>
      <w:r w:rsidR="00DE678F">
        <w:rPr>
          <w:rFonts w:asciiTheme="majorBidi" w:hAnsiTheme="majorBidi" w:cstheme="majorBidi"/>
          <w:sz w:val="20"/>
          <w:szCs w:val="20"/>
        </w:rPr>
        <w:t>5</w:t>
      </w:r>
      <w:r w:rsidRPr="009167FF">
        <w:rPr>
          <w:rFonts w:asciiTheme="majorBidi" w:hAnsiTheme="majorBidi" w:cstheme="majorBidi"/>
          <w:sz w:val="20"/>
          <w:szCs w:val="20"/>
        </w:rPr>
        <w:t>/202</w:t>
      </w:r>
      <w:r w:rsidR="00CB204C">
        <w:rPr>
          <w:rFonts w:asciiTheme="majorBidi" w:hAnsiTheme="majorBidi" w:cstheme="majorBidi"/>
          <w:sz w:val="20"/>
          <w:szCs w:val="20"/>
        </w:rPr>
        <w:t>6</w:t>
      </w:r>
      <w:r w:rsidRPr="009167FF">
        <w:rPr>
          <w:rFonts w:asciiTheme="majorBidi" w:hAnsiTheme="majorBidi" w:cstheme="majorBidi"/>
          <w:sz w:val="20"/>
          <w:szCs w:val="20"/>
        </w:rPr>
        <w:t xml:space="preserve">, Article Accepted: </w:t>
      </w:r>
      <w:r w:rsidR="00CB204C">
        <w:rPr>
          <w:rFonts w:asciiTheme="majorBidi" w:hAnsiTheme="majorBidi" w:cstheme="majorBidi"/>
          <w:sz w:val="20"/>
          <w:szCs w:val="20"/>
        </w:rPr>
        <w:t>0</w:t>
      </w:r>
      <w:r w:rsidR="00BA176C">
        <w:rPr>
          <w:rFonts w:asciiTheme="majorBidi" w:hAnsiTheme="majorBidi" w:cstheme="majorBidi"/>
          <w:sz w:val="20"/>
          <w:szCs w:val="20"/>
        </w:rPr>
        <w:t>1</w:t>
      </w:r>
      <w:r w:rsidRPr="009167FF">
        <w:rPr>
          <w:rFonts w:asciiTheme="majorBidi" w:hAnsiTheme="majorBidi" w:cstheme="majorBidi"/>
          <w:sz w:val="20"/>
          <w:szCs w:val="20"/>
        </w:rPr>
        <w:t>/</w:t>
      </w:r>
      <w:r w:rsidR="00CB204C">
        <w:rPr>
          <w:rFonts w:asciiTheme="majorBidi" w:hAnsiTheme="majorBidi" w:cstheme="majorBidi"/>
          <w:sz w:val="20"/>
          <w:szCs w:val="20"/>
        </w:rPr>
        <w:t>0</w:t>
      </w:r>
      <w:r w:rsidR="00DE678F">
        <w:rPr>
          <w:rFonts w:asciiTheme="majorBidi" w:hAnsiTheme="majorBidi" w:cstheme="majorBidi"/>
          <w:sz w:val="20"/>
          <w:szCs w:val="20"/>
        </w:rPr>
        <w:t>6</w:t>
      </w:r>
      <w:r w:rsidRPr="009167FF">
        <w:rPr>
          <w:rFonts w:asciiTheme="majorBidi" w:hAnsiTheme="majorBidi" w:cstheme="majorBidi"/>
          <w:sz w:val="20"/>
          <w:szCs w:val="20"/>
        </w:rPr>
        <w:t>/202</w:t>
      </w:r>
      <w:r w:rsidR="00CB204C">
        <w:rPr>
          <w:rFonts w:asciiTheme="majorBidi" w:hAnsiTheme="majorBidi" w:cstheme="majorBidi"/>
          <w:sz w:val="20"/>
          <w:szCs w:val="20"/>
        </w:rPr>
        <w:t>6</w:t>
      </w:r>
    </w:p>
    <w:p w14:paraId="5E8B9D7F" w14:textId="77777777" w:rsidR="00061306" w:rsidRDefault="00061306" w:rsidP="005F37E4">
      <w:pPr>
        <w:jc w:val="both"/>
        <w:rPr>
          <w:rFonts w:asciiTheme="majorBidi" w:hAnsiTheme="majorBidi" w:cstheme="majorBidi"/>
        </w:rPr>
      </w:pPr>
    </w:p>
    <w:p w14:paraId="22036417" w14:textId="45066F88" w:rsidR="005F37E4" w:rsidRDefault="00502260" w:rsidP="005F37E4">
      <w:pPr>
        <w:jc w:val="both"/>
        <w:rPr>
          <w:rFonts w:asciiTheme="majorBidi" w:hAnsiTheme="majorBidi" w:cstheme="majorBidi"/>
        </w:rPr>
      </w:pPr>
      <w:r w:rsidRPr="009167FF">
        <w:rPr>
          <w:rFonts w:asciiTheme="majorBidi" w:hAnsiTheme="majorBidi" w:cstheme="majorBidi"/>
        </w:rPr>
        <w:t>© 202</w:t>
      </w:r>
      <w:r w:rsidR="00CB204C">
        <w:rPr>
          <w:rFonts w:asciiTheme="majorBidi" w:hAnsiTheme="majorBidi" w:cstheme="majorBidi"/>
        </w:rPr>
        <w:t>6</w:t>
      </w:r>
      <w:r w:rsidRPr="009167FF">
        <w:rPr>
          <w:rFonts w:asciiTheme="majorBidi" w:hAnsiTheme="majorBidi" w:cstheme="majorBidi"/>
        </w:rPr>
        <w:t xml:space="preserve"> Authors retain the copyright of their manuscripts, and all Open Access articles are disseminated under the terms of the </w:t>
      </w:r>
      <w:r w:rsidRPr="00576F54">
        <w:rPr>
          <w:color w:val="006FC0"/>
        </w:rPr>
        <w:t>Creative Commons</w:t>
      </w:r>
      <w:r w:rsidRPr="00576F54">
        <w:rPr>
          <w:color w:val="006FC0"/>
          <w:spacing w:val="1"/>
        </w:rPr>
        <w:t xml:space="preserve"> </w:t>
      </w:r>
      <w:r w:rsidRPr="00576F54">
        <w:rPr>
          <w:color w:val="006FC0"/>
        </w:rPr>
        <w:t>Attribution</w:t>
      </w:r>
      <w:r w:rsidRPr="00576F54">
        <w:rPr>
          <w:color w:val="006FC0"/>
          <w:spacing w:val="1"/>
        </w:rPr>
        <w:t xml:space="preserve"> </w:t>
      </w:r>
      <w:r w:rsidRPr="00576F54">
        <w:rPr>
          <w:color w:val="006FC0"/>
        </w:rPr>
        <w:t>License</w:t>
      </w:r>
      <w:r w:rsidRPr="00576F54">
        <w:rPr>
          <w:color w:val="006FC0"/>
          <w:spacing w:val="1"/>
        </w:rPr>
        <w:t xml:space="preserve"> </w:t>
      </w:r>
      <w:r w:rsidRPr="00576F54">
        <w:rPr>
          <w:color w:val="006FC0"/>
        </w:rPr>
        <w:t>4.0</w:t>
      </w:r>
      <w:r w:rsidRPr="00576F54">
        <w:rPr>
          <w:color w:val="006FC0"/>
          <w:spacing w:val="1"/>
        </w:rPr>
        <w:t xml:space="preserve"> </w:t>
      </w:r>
      <w:r w:rsidRPr="00576F54">
        <w:rPr>
          <w:color w:val="006FC0"/>
        </w:rPr>
        <w:t>(CC-BY)</w:t>
      </w:r>
      <w:r w:rsidRPr="009167FF">
        <w:rPr>
          <w:rFonts w:asciiTheme="majorBidi" w:hAnsiTheme="majorBidi" w:cstheme="majorBidi"/>
        </w:rPr>
        <w:t>, which licenses unrestricted use, distribution, and reproduction in any medium, provided that the original work is appropriately cited.</w:t>
      </w:r>
    </w:p>
    <w:p w14:paraId="6E7B1D20" w14:textId="3C7406D8" w:rsidR="009167FF" w:rsidRDefault="00BA176C" w:rsidP="00CB204C">
      <w:pPr>
        <w:rPr>
          <w:rFonts w:asciiTheme="majorBidi" w:hAnsiTheme="majorBidi" w:cstheme="majorBidi"/>
        </w:rPr>
      </w:pPr>
      <w:r w:rsidRPr="004026F5">
        <w:rPr>
          <w:iCs/>
          <w:noProof/>
          <w:sz w:val="24"/>
          <w:szCs w:val="24"/>
        </w:rPr>
        <mc:AlternateContent>
          <mc:Choice Requires="wps">
            <w:drawing>
              <wp:anchor distT="0" distB="0" distL="114300" distR="114300" simplePos="0" relativeHeight="251662336" behindDoc="1" locked="0" layoutInCell="1" allowOverlap="1" wp14:anchorId="4EC9AC07" wp14:editId="616E30DF">
                <wp:simplePos x="0" y="0"/>
                <wp:positionH relativeFrom="margin">
                  <wp:posOffset>0</wp:posOffset>
                </wp:positionH>
                <wp:positionV relativeFrom="page">
                  <wp:posOffset>3919855</wp:posOffset>
                </wp:positionV>
                <wp:extent cx="6521450" cy="0"/>
                <wp:effectExtent l="0" t="0" r="0" b="0"/>
                <wp:wrapNone/>
                <wp:docPr id="133921424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2145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61B0AA" id="Straight Connector 1" o:spid="_x0000_s1026" style="position:absolute;flip:y;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0,308.65pt" to="513.5pt,30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ycGvQEAAGsDAAAOAAAAZHJzL2Uyb0RvYy54bWysU01v2zAMvQ/YfxB0X5RkazEYcXpI1l26&#10;LUC73Rl92MJkURCV2Pn3k5Q0LbrbMB8IUSSfHh/p1d00OHbUkSz6li9mc860l6is71r+8+n+w2fO&#10;KIFX4NDrlp808bv1+3erMTR6iT06pSPLIJ6aMbS8Tyk0QpDs9QA0w6B9DhqMA6Tsxk6oCGNGH5xY&#10;zue3YsSoQkSpifLt9hzk64pvjJbphzGkE3Mtz9xStbHafbFivYKmixB6Ky804B9YDGB9fvQKtYUE&#10;7BDtX1CDlREJTZpJHAQaY6WuPeRuFvM33Tz2EHTtJYtD4SoT/T9Y+f248btYqMvJP4YHlL+Jedz0&#10;4DtdCTydQh7cokglxkDNtaQ4FHaR7cdvqHIOHBJWFSYTB2acDb9KYQHPnbKpyn66yq6nxGS+vL1Z&#10;Lj7d5OnI55iApkCUwhApfdU4sHJoubO+KAINHB8oFUovKeXa4711rk7VeTZm8I8ZuUQInVUlWJ3Y&#10;7TcusiOUvahf7e9NWnlzC9Sf8yrCeWMiHryqr/Qa1JfLOYF153Nm5fxFryJR2Udq9qhOu/isY55o&#10;pX/ZvrIyr/1a/fKPrP8AAAD//wMAUEsDBBQABgAIAAAAIQCvunoe3gAAAAkBAAAPAAAAZHJzL2Rv&#10;d25yZXYueG1sTI9Ra8JAEITfC/0Pxxb6Vi/GYiRmI6ItlEKRasHXM7cm0dxeyF00/fc9odA+7sww&#10;+022GEwjLtS52jLCeBSBIC6srrlE+Nq9Ps1AOK9Yq8YyIXyTg0V+f5epVNsrf9Jl60sRStilCqHy&#10;vk2ldEVFRrmRbYmDd7SdUT6cXSl1p66h3DQyjqKpNKrm8KFSLa0qKs7b3iBs4nLSvujd+fnjvXhL&#10;ZsN6ue9PiI8Pw3IOwtPg/8Jwww/okAemg+1ZO9EghCEeYTpOJiBudhQnQTr8SjLP5P8F+Q8AAAD/&#10;/wMAUEsBAi0AFAAGAAgAAAAhALaDOJL+AAAA4QEAABMAAAAAAAAAAAAAAAAAAAAAAFtDb250ZW50&#10;X1R5cGVzXS54bWxQSwECLQAUAAYACAAAACEAOP0h/9YAAACUAQAACwAAAAAAAAAAAAAAAAAvAQAA&#10;X3JlbHMvLnJlbHNQSwECLQAUAAYACAAAACEA7e8nBr0BAABrAwAADgAAAAAAAAAAAAAAAAAuAgAA&#10;ZHJzL2Uyb0RvYy54bWxQSwECLQAUAAYACAAAACEAr7p6Ht4AAAAJAQAADwAAAAAAAAAAAAAAAAAX&#10;BAAAZHJzL2Rvd25yZXYueG1sUEsFBgAAAAAEAAQA8wAAACIFAAAAAA==&#10;" strokeweight=".5pt">
                <w10:wrap anchorx="margin" anchory="page"/>
              </v:line>
            </w:pict>
          </mc:Fallback>
        </mc:AlternateContent>
      </w:r>
    </w:p>
    <w:p w14:paraId="2025A39C" w14:textId="232F1182" w:rsidR="009167FF" w:rsidRPr="004140BF" w:rsidRDefault="004140BF" w:rsidP="004140BF">
      <w:pPr>
        <w:jc w:val="both"/>
        <w:rPr>
          <w:rFonts w:asciiTheme="majorBidi" w:hAnsiTheme="majorBidi" w:cstheme="majorBidi"/>
          <w:b/>
          <w:bCs/>
        </w:rPr>
      </w:pPr>
      <w:r w:rsidRPr="004140BF">
        <w:rPr>
          <w:rFonts w:asciiTheme="majorBidi" w:hAnsiTheme="majorBidi" w:cstheme="majorBidi"/>
          <w:b/>
          <w:bCs/>
        </w:rPr>
        <w:t>ABSTRACT</w:t>
      </w:r>
    </w:p>
    <w:p w14:paraId="5F025B2E" w14:textId="18DF6C86" w:rsidR="009167FF" w:rsidRPr="009167FF" w:rsidRDefault="009167FF" w:rsidP="004140BF">
      <w:pPr>
        <w:jc w:val="both"/>
        <w:rPr>
          <w:rFonts w:asciiTheme="majorBidi" w:hAnsiTheme="majorBidi" w:cstheme="majorBidi"/>
        </w:rPr>
      </w:pPr>
    </w:p>
    <w:p w14:paraId="522E3A97" w14:textId="77777777" w:rsidR="00DE678F" w:rsidRPr="00DE678F" w:rsidRDefault="00DE678F" w:rsidP="00DE678F">
      <w:pPr>
        <w:jc w:val="both"/>
        <w:rPr>
          <w:rFonts w:asciiTheme="majorBidi" w:hAnsiTheme="majorBidi" w:cstheme="majorBidi"/>
        </w:rPr>
      </w:pPr>
      <w:r w:rsidRPr="00DE678F">
        <w:rPr>
          <w:rFonts w:asciiTheme="majorBidi" w:hAnsiTheme="majorBidi" w:cstheme="majorBidi"/>
        </w:rPr>
        <w:t>Crude oil price forecasting is a complex nonlinear time-series problem influenced by macroeconomic dynamics, geopolitical instability, and speculative market behavior. Traditional statistical models often fail to capture the high volatility and non-stationarity of crude oil price movements. This study proposes a hybrid neural network architecture that integrates deep learning mechanisms with ensemble and feature transformation techniques to improve predictive accuracy in volatile energy markets. The proposed framework leverages Long Short-Term Memory (LSTM) networks, hybridized with gradient-based optimization and ensemble learning strategies, to model long-range dependencies in oil price sequences. Prior studies highlight the limitations of gradient descent-based recurrent architectures in learning long-term dependencies effectively (Bengio &amp; P. F., 1994), motivating the adoption of improved deep learning structures.</w:t>
      </w:r>
    </w:p>
    <w:p w14:paraId="528A9FBA" w14:textId="77777777" w:rsidR="00DE678F" w:rsidRPr="00DE678F" w:rsidRDefault="00DE678F" w:rsidP="00DE678F">
      <w:pPr>
        <w:jc w:val="both"/>
        <w:rPr>
          <w:rFonts w:asciiTheme="majorBidi" w:hAnsiTheme="majorBidi" w:cstheme="majorBidi"/>
        </w:rPr>
      </w:pPr>
      <w:r w:rsidRPr="00DE678F">
        <w:rPr>
          <w:rFonts w:asciiTheme="majorBidi" w:hAnsiTheme="majorBidi" w:cstheme="majorBidi"/>
        </w:rPr>
        <w:t>The model is conceptually grounded in deep learning frameworks such as TensorFlow (Abadi et al., 2016) and integrates insights from support vector machines, XGBoost, and wavelet-based decomposition approaches to enhance feature representation. Comparative literature indicates that hybrid and ensemble methods outperform standalone models in financial forecasting tasks (</w:t>
      </w:r>
      <w:proofErr w:type="spellStart"/>
      <w:r w:rsidRPr="00DE678F">
        <w:rPr>
          <w:rFonts w:asciiTheme="majorBidi" w:hAnsiTheme="majorBidi" w:cstheme="majorBidi"/>
        </w:rPr>
        <w:t>Jammazi</w:t>
      </w:r>
      <w:proofErr w:type="spellEnd"/>
      <w:r w:rsidRPr="00DE678F">
        <w:rPr>
          <w:rFonts w:asciiTheme="majorBidi" w:hAnsiTheme="majorBidi" w:cstheme="majorBidi"/>
        </w:rPr>
        <w:t>, 2012; Zhao et al., 2017). The proposed architecture further incorporates risk-sensitive learning considerations inspired by financial volatility studies (Wang et al., 2020).</w:t>
      </w:r>
    </w:p>
    <w:p w14:paraId="7870E6CC" w14:textId="2B1E797D" w:rsidR="009167FF" w:rsidRPr="009167FF" w:rsidRDefault="00DE678F" w:rsidP="00DE678F">
      <w:pPr>
        <w:jc w:val="both"/>
        <w:rPr>
          <w:rFonts w:asciiTheme="majorBidi" w:hAnsiTheme="majorBidi" w:cstheme="majorBidi"/>
        </w:rPr>
      </w:pPr>
      <w:r w:rsidRPr="00DE678F">
        <w:rPr>
          <w:rFonts w:asciiTheme="majorBidi" w:hAnsiTheme="majorBidi" w:cstheme="majorBidi"/>
        </w:rPr>
        <w:t>The study demonstrates that combining sequential learning with ensemble optimization significantly improves forecasting stability under high volatility conditions. The findings contribute to the advancement of intelligent financial forecasting systems and provide a scalable framework for energy market prediction under uncertainty.</w:t>
      </w:r>
    </w:p>
    <w:p w14:paraId="1E532050" w14:textId="77777777" w:rsidR="009167FF" w:rsidRPr="009167FF" w:rsidRDefault="009167FF" w:rsidP="004140BF">
      <w:pPr>
        <w:jc w:val="both"/>
        <w:rPr>
          <w:rFonts w:asciiTheme="majorBidi" w:hAnsiTheme="majorBidi" w:cstheme="majorBidi"/>
        </w:rPr>
      </w:pPr>
    </w:p>
    <w:p w14:paraId="760B6ECE" w14:textId="5CBC0CDC" w:rsidR="009167FF" w:rsidRPr="009167FF" w:rsidRDefault="009167FF" w:rsidP="004140BF">
      <w:pPr>
        <w:jc w:val="both"/>
        <w:rPr>
          <w:rFonts w:asciiTheme="majorBidi" w:hAnsiTheme="majorBidi" w:cstheme="majorBidi"/>
        </w:rPr>
      </w:pPr>
      <w:r w:rsidRPr="004140BF">
        <w:rPr>
          <w:rFonts w:asciiTheme="majorBidi" w:hAnsiTheme="majorBidi" w:cstheme="majorBidi"/>
          <w:b/>
          <w:bCs/>
        </w:rPr>
        <w:t>Keywords:</w:t>
      </w:r>
      <w:r w:rsidRPr="009167FF">
        <w:rPr>
          <w:rFonts w:asciiTheme="majorBidi" w:hAnsiTheme="majorBidi" w:cstheme="majorBidi"/>
        </w:rPr>
        <w:t xml:space="preserve"> </w:t>
      </w:r>
      <w:r w:rsidR="00DE678F" w:rsidRPr="00DE678F">
        <w:rPr>
          <w:rFonts w:asciiTheme="majorBidi" w:hAnsiTheme="majorBidi" w:cstheme="majorBidi"/>
        </w:rPr>
        <w:t>Crude Oil Forecasting, Hybrid Neural Network, LSTM, Deep Learning, Time Series Prediction, Energy Markets, XGBoost, Ensemble Learning, Volatility Modeling</w:t>
      </w:r>
      <w:r w:rsidR="00CB204C">
        <w:rPr>
          <w:rFonts w:asciiTheme="majorBidi" w:hAnsiTheme="majorBidi" w:cstheme="majorBidi"/>
        </w:rPr>
        <w:t>.</w:t>
      </w:r>
    </w:p>
    <w:p w14:paraId="2E033969" w14:textId="77777777" w:rsidR="004140BF" w:rsidRDefault="004140BF" w:rsidP="004140BF">
      <w:pPr>
        <w:jc w:val="both"/>
        <w:rPr>
          <w:rFonts w:asciiTheme="majorBidi" w:hAnsiTheme="majorBidi" w:cstheme="majorBidi"/>
        </w:rPr>
      </w:pPr>
    </w:p>
    <w:p w14:paraId="2FA6DB8F" w14:textId="34048F89" w:rsidR="009167FF" w:rsidRPr="004140BF" w:rsidRDefault="009167FF" w:rsidP="004140BF">
      <w:pPr>
        <w:spacing w:before="240"/>
        <w:jc w:val="both"/>
        <w:rPr>
          <w:rFonts w:asciiTheme="majorBidi" w:hAnsiTheme="majorBidi" w:cstheme="majorBidi"/>
          <w:b/>
          <w:bCs/>
        </w:rPr>
      </w:pPr>
      <w:r w:rsidRPr="004140BF">
        <w:rPr>
          <w:rFonts w:asciiTheme="majorBidi" w:hAnsiTheme="majorBidi" w:cstheme="majorBidi"/>
          <w:b/>
          <w:bCs/>
        </w:rPr>
        <w:t xml:space="preserve">INTRODUCTION </w:t>
      </w:r>
    </w:p>
    <w:p w14:paraId="5E02F5BA" w14:textId="77777777" w:rsidR="004140BF" w:rsidRDefault="004140BF" w:rsidP="004140BF">
      <w:pPr>
        <w:spacing w:before="240"/>
        <w:jc w:val="both"/>
        <w:rPr>
          <w:rFonts w:asciiTheme="majorBidi" w:hAnsiTheme="majorBidi" w:cstheme="majorBidi"/>
        </w:rPr>
        <w:sectPr w:rsidR="004140BF" w:rsidSect="009167FF">
          <w:type w:val="continuous"/>
          <w:pgSz w:w="11910" w:h="16840"/>
          <w:pgMar w:top="580" w:right="850" w:bottom="820" w:left="850" w:header="432" w:footer="632" w:gutter="0"/>
          <w:cols w:space="101"/>
          <w:docGrid w:linePitch="299"/>
        </w:sectPr>
      </w:pPr>
    </w:p>
    <w:p w14:paraId="2F704B42"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Crude oil remains one of the most influential commodities in global economic systems, serving as a primary driver of industrial production, transportation, and energy consumption. Its price volatility directly impacts inflation rates, trade balances, and financial stability across both oil-exporting and oil-importing nations. Due to these far-reaching implications, accurate forecasting of crude oil prices has become a critical research area in computational finance and artificial intelligence.</w:t>
      </w:r>
    </w:p>
    <w:p w14:paraId="0203EF7C"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 xml:space="preserve">However, crude oil price dynamics are inherently </w:t>
      </w:r>
      <w:r w:rsidRPr="00DE678F">
        <w:rPr>
          <w:rFonts w:asciiTheme="majorBidi" w:hAnsiTheme="majorBidi" w:cstheme="majorBidi"/>
        </w:rPr>
        <w:t>nonlinear and influenced by multifaceted factors such as geopolitical tensions, supply-demand fluctuations, currency exchange variations, and speculative trading behavior. Traditional econometric models such as ARIMA and GARCH often struggle to capture these nonlinear dependencies and structural breaks in the data. This limitation has led researchers to explore machine learning and deep learning-based forecasting models.</w:t>
      </w:r>
    </w:p>
    <w:p w14:paraId="6C07069E"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 xml:space="preserve">Recent advancements in artificial intelligence have enabled the development of neural network-based predictive systems capable of learning complex temporal dependencies. However, early recurrent neural </w:t>
      </w:r>
      <w:r w:rsidRPr="00DE678F">
        <w:rPr>
          <w:rFonts w:asciiTheme="majorBidi" w:hAnsiTheme="majorBidi" w:cstheme="majorBidi"/>
        </w:rPr>
        <w:lastRenderedPageBreak/>
        <w:t>architectures face difficulties in learning long-term dependencies due to vanishing gradient problems. This challenge was theoretically identified by Bengio and colleagues, who demonstrated that gradient descent optimization struggles in modeling long-term sequential relationships effectively (Bengio &amp; P. F., 1994). This foundational limitation has motivated the development of advanced architectures such as LSTM networks.</w:t>
      </w:r>
    </w:p>
    <w:p w14:paraId="6495B96F"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integration of LSTM networks has significantly improved time-series forecasting performance, particularly in financial domains where long-term dependencies are crucial. Nevertheless, standalone LSTM models are still sensitive to noise and may fail under extreme volatility conditions. Therefore, hybrid architectures combining deep learning with ensemble learning techniques have gained attention.</w:t>
      </w:r>
    </w:p>
    <w:p w14:paraId="5EF7C697"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objective of this study is to develop a hybrid neural network architecture that improves crude oil price forecasting accuracy in volatile energy markets. The proposed system integrates LSTM-based sequence learning with optimization strategies inspired by ensemble and boosting methods. Additionally, it incorporates feature enhancement techniques derived from wavelet decomposition and soft computing models.</w:t>
      </w:r>
    </w:p>
    <w:p w14:paraId="628A84F1"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significance of this research lies in its ability to bridge the gap between theoretical deep learning limitations and practical financial forecasting applications. By leveraging modern computational frameworks such as TensorFlow (Abadi et al., 2016), the proposed model provides a scalable and efficient solution for real-time oil price prediction.</w:t>
      </w:r>
    </w:p>
    <w:p w14:paraId="604C1B69" w14:textId="760234F2"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Problem Statement</w:t>
      </w:r>
    </w:p>
    <w:p w14:paraId="62C473AB"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Despite extensive research in crude oil price forecasting, existing models suffer from limitations in handling non-stationarity, volatility clustering, and nonlinear dependencies. Hybrid and ensemble models have shown promise, yet there remains a need for a unified architecture that effectively integrates temporal learning and optimization strategies.</w:t>
      </w:r>
    </w:p>
    <w:p w14:paraId="1282F54E" w14:textId="4DB60D97"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Research Objectives</w:t>
      </w:r>
    </w:p>
    <w:p w14:paraId="45097C44"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primary objectives of this study are:</w:t>
      </w:r>
    </w:p>
    <w:p w14:paraId="17F108C2"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To design a hybrid neural network architecture for crude oil price forecasting. </w:t>
      </w:r>
    </w:p>
    <w:p w14:paraId="14E9BBF8"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To integrate LSTM-based sequential learning with ensemble optimization techniques. </w:t>
      </w:r>
    </w:p>
    <w:p w14:paraId="65DCC320"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To evaluate the effectiveness of hybrid models in volatile energy market conditions. </w:t>
      </w:r>
    </w:p>
    <w:p w14:paraId="61369F01"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To analyze the limitations of traditional and standalone deep learning models. </w:t>
      </w:r>
    </w:p>
    <w:p w14:paraId="2815D0E8" w14:textId="2E10FE12"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Scope and Significance</w:t>
      </w:r>
    </w:p>
    <w:p w14:paraId="67FC0F66"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This research focuses on short- to medium-term crude oil price forecasting using historical market data. The study is significant for financial analysts, policymakers, and energy economists as it provides a robust predictive framework capable of adapting to dynamic market conditions.</w:t>
      </w:r>
    </w:p>
    <w:p w14:paraId="103D0F0C" w14:textId="5CEFC916"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Literature Review</w:t>
      </w:r>
    </w:p>
    <w:p w14:paraId="1176E713"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evolution of crude oil price forecasting methodologies reflects a transition from traditional econometric models to advanced machine learning and deep learning frameworks. Early approaches primarily relied on statistical time-series models; however, their inability to capture nonlinear relationships led to the adoption of artificial intelligence techniques.</w:t>
      </w:r>
    </w:p>
    <w:p w14:paraId="198B81B9" w14:textId="77777777" w:rsidR="00DE678F" w:rsidRPr="00DE678F" w:rsidRDefault="00DE678F" w:rsidP="00DE678F">
      <w:pPr>
        <w:spacing w:before="240"/>
        <w:jc w:val="both"/>
        <w:rPr>
          <w:rFonts w:asciiTheme="majorBidi" w:hAnsiTheme="majorBidi" w:cstheme="majorBidi"/>
        </w:rPr>
      </w:pPr>
      <w:proofErr w:type="spellStart"/>
      <w:r w:rsidRPr="00DE678F">
        <w:rPr>
          <w:rFonts w:asciiTheme="majorBidi" w:hAnsiTheme="majorBidi" w:cstheme="majorBidi"/>
        </w:rPr>
        <w:t>Khashman</w:t>
      </w:r>
      <w:proofErr w:type="spellEnd"/>
      <w:r w:rsidRPr="00DE678F">
        <w:rPr>
          <w:rFonts w:asciiTheme="majorBidi" w:hAnsiTheme="majorBidi" w:cstheme="majorBidi"/>
        </w:rPr>
        <w:t xml:space="preserve"> (2011) introduced the use of Support Vector Machines (SVM) for crude oil price prediction, demonstrating improved accuracy over traditional regression-based models. Similarly, Xie et al. (2006) proposed SVM-based forecasting systems, emphasizing their robustness in nonlinear environments. These studies established machine learning as a viable alternative to classical econometric methods.</w:t>
      </w:r>
    </w:p>
    <w:p w14:paraId="17FC4411"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 xml:space="preserve">Wavelet decomposition combined with neural networks was explored by </w:t>
      </w:r>
      <w:proofErr w:type="spellStart"/>
      <w:r w:rsidRPr="00DE678F">
        <w:rPr>
          <w:rFonts w:asciiTheme="majorBidi" w:hAnsiTheme="majorBidi" w:cstheme="majorBidi"/>
        </w:rPr>
        <w:t>Jammazi</w:t>
      </w:r>
      <w:proofErr w:type="spellEnd"/>
      <w:r w:rsidRPr="00DE678F">
        <w:rPr>
          <w:rFonts w:asciiTheme="majorBidi" w:hAnsiTheme="majorBidi" w:cstheme="majorBidi"/>
        </w:rPr>
        <w:t xml:space="preserve"> (2012), who demonstrated that multi-resolution analysis improves feature extraction in volatile markets. Zhao et al. (2017) further extended this concept by proposing deep learning ensemble approaches, highlighting the advantages of model hybridization in reducing forecasting error.</w:t>
      </w:r>
    </w:p>
    <w:p w14:paraId="43CBF9F2"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 xml:space="preserve">LSTM networks, introduced by Hochreiter and </w:t>
      </w:r>
      <w:proofErr w:type="spellStart"/>
      <w:r w:rsidRPr="00DE678F">
        <w:rPr>
          <w:rFonts w:asciiTheme="majorBidi" w:hAnsiTheme="majorBidi" w:cstheme="majorBidi"/>
        </w:rPr>
        <w:t>Schmidhuber</w:t>
      </w:r>
      <w:proofErr w:type="spellEnd"/>
      <w:r w:rsidRPr="00DE678F">
        <w:rPr>
          <w:rFonts w:asciiTheme="majorBidi" w:hAnsiTheme="majorBidi" w:cstheme="majorBidi"/>
        </w:rPr>
        <w:t xml:space="preserve"> (1997), revolutionized sequential learning by addressing the vanishing gradient problem. This architecture has become foundational in time-series forecasting tasks. However, Bengio &amp; P. F. (1994) highlighted that learning long-term dependencies using gradient descent remains challenging, especially in deep recurrent structures. This limitation continues to influence the design of modern hybrid architectures.</w:t>
      </w:r>
    </w:p>
    <w:p w14:paraId="0340947B" w14:textId="77777777" w:rsidR="00DE678F" w:rsidRPr="00DE678F" w:rsidRDefault="00DE678F" w:rsidP="00DE678F">
      <w:pPr>
        <w:spacing w:before="240"/>
        <w:jc w:val="both"/>
        <w:rPr>
          <w:rFonts w:asciiTheme="majorBidi" w:hAnsiTheme="majorBidi" w:cstheme="majorBidi"/>
        </w:rPr>
      </w:pPr>
      <w:proofErr w:type="spellStart"/>
      <w:r w:rsidRPr="00DE678F">
        <w:rPr>
          <w:rFonts w:asciiTheme="majorBidi" w:hAnsiTheme="majorBidi" w:cstheme="majorBidi"/>
        </w:rPr>
        <w:t>Gabralla</w:t>
      </w:r>
      <w:proofErr w:type="spellEnd"/>
      <w:r w:rsidRPr="00DE678F">
        <w:rPr>
          <w:rFonts w:asciiTheme="majorBidi" w:hAnsiTheme="majorBidi" w:cstheme="majorBidi"/>
        </w:rPr>
        <w:t xml:space="preserve"> (2013) provided a comprehensive review of two decades of crude oil forecasting research, concluding that hybrid models outperform standalone statistical and machine learning approaches. Similarly, Sun et al. (2018) introduced interval decomposition ensemble methods, demonstrating improved stability in forecasting volatile energy prices.</w:t>
      </w:r>
    </w:p>
    <w:p w14:paraId="5F8CE4CF"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 xml:space="preserve">Recent advancements include the application of XGBoost-based models for oil price prediction (Gumus &amp; K., 2021), which offer strong performance in structured feature spaces. Li (2019) proposed deep learning approaches for text-based crude oil forecasting, </w:t>
      </w:r>
      <w:r w:rsidRPr="00DE678F">
        <w:rPr>
          <w:rFonts w:asciiTheme="majorBidi" w:hAnsiTheme="majorBidi" w:cstheme="majorBidi"/>
        </w:rPr>
        <w:lastRenderedPageBreak/>
        <w:t>expanding the scope of data sources beyond numerical time series.</w:t>
      </w:r>
    </w:p>
    <w:p w14:paraId="3B32C6E6"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Wang et al. (2020) analyzed financial risk spillovers in crude oil markets, emphasizing the importance of incorporating external economic variables into predictive models. This aligns with the need for hybrid architectures that can integrate heterogeneous data sources.</w:t>
      </w:r>
    </w:p>
    <w:p w14:paraId="26052D0A"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Sankara Babu et al. (2018) demonstrated the effectiveness of optimization techniques such as Grey Wolf Optimization in neural network training, further supporting the integration of metaheuristic approaches in deep learning systems.</w:t>
      </w:r>
    </w:p>
    <w:p w14:paraId="2F9D970D"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Overall, the literature indicates a clear trend toward hybridization, where deep learning models are combined with ensemble techniques, optimization algorithms, and decomposition methods to enhance predictive accuracy. Despite these advancements, challenges remain in achieving stable performance under extreme market volatility, justifying the need for the proposed hybrid neural network architecture.</w:t>
      </w:r>
    </w:p>
    <w:p w14:paraId="02049EE6" w14:textId="77777777"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Literature Gap Identification</w:t>
      </w:r>
    </w:p>
    <w:p w14:paraId="065095C1"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1.</w:t>
      </w:r>
      <w:r w:rsidRPr="00DE678F">
        <w:rPr>
          <w:rFonts w:asciiTheme="majorBidi" w:hAnsiTheme="majorBidi" w:cstheme="majorBidi"/>
        </w:rPr>
        <w:tab/>
        <w:t xml:space="preserve">Lack of unified hybrid architectures integrating LSTM with ensemble optimization. </w:t>
      </w:r>
    </w:p>
    <w:p w14:paraId="5C8DC96E"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2.</w:t>
      </w:r>
      <w:r w:rsidRPr="00DE678F">
        <w:rPr>
          <w:rFonts w:asciiTheme="majorBidi" w:hAnsiTheme="majorBidi" w:cstheme="majorBidi"/>
        </w:rPr>
        <w:tab/>
        <w:t xml:space="preserve">Limited robustness under extreme volatility conditions. </w:t>
      </w:r>
    </w:p>
    <w:p w14:paraId="46757A43"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3.</w:t>
      </w:r>
      <w:r w:rsidRPr="00DE678F">
        <w:rPr>
          <w:rFonts w:asciiTheme="majorBidi" w:hAnsiTheme="majorBidi" w:cstheme="majorBidi"/>
        </w:rPr>
        <w:tab/>
        <w:t xml:space="preserve">Insufficient integration of feature decomposition with deep learning models. </w:t>
      </w:r>
    </w:p>
    <w:p w14:paraId="23E029D1"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4.</w:t>
      </w:r>
      <w:r w:rsidRPr="00DE678F">
        <w:rPr>
          <w:rFonts w:asciiTheme="majorBidi" w:hAnsiTheme="majorBidi" w:cstheme="majorBidi"/>
        </w:rPr>
        <w:tab/>
        <w:t xml:space="preserve">Incomplete handling of long-term dependency learning limitations identified by Bengio &amp; P. F. (1994). </w:t>
      </w:r>
    </w:p>
    <w:p w14:paraId="47CECD08" w14:textId="77777777"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Theoretical Positioning</w:t>
      </w:r>
    </w:p>
    <w:p w14:paraId="639C890A"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This study positions itself at the intersection of deep sequential learning and ensemble optimization. It builds upon LSTM-based architectures while addressing their limitations through hybridization and multi-model integration strategies.</w:t>
      </w:r>
    </w:p>
    <w:p w14:paraId="07423C5F" w14:textId="60117344"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Methodology</w:t>
      </w:r>
    </w:p>
    <w:p w14:paraId="1312C608" w14:textId="187FEAE8"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Overview of Proposed Hybrid Framework</w:t>
      </w:r>
    </w:p>
    <w:p w14:paraId="5243D940"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proposed study introduces a Hybrid Neural Network Architecture (HNNA) designed for robust forecasting of crude oil prices under highly volatile market conditions. The framework integrates sequential learning (LSTM), feature enhancement techniques, and ensemble-based optimization mechanisms to overcome limitations of standalone forecasting models.</w:t>
      </w:r>
    </w:p>
    <w:p w14:paraId="0FF25CDF"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 xml:space="preserve">The methodological foundation is built upon deep learning principles implemented through TensorFlow </w:t>
      </w:r>
      <w:r w:rsidRPr="00DE678F">
        <w:rPr>
          <w:rFonts w:asciiTheme="majorBidi" w:hAnsiTheme="majorBidi" w:cstheme="majorBidi"/>
        </w:rPr>
        <w:t>(Abadi et al., 2016), enabling scalable computation and efficient training on large financial datasets. The architecture is specifically designed to address non-stationarity, noise sensitivity, and long-term dependency learning challenges highlighted in recurrent neural systems (Bengio &amp; P. F., 1994).</w:t>
      </w:r>
    </w:p>
    <w:p w14:paraId="5FE18AB6"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hybrid structure consists of three core layers:</w:t>
      </w:r>
    </w:p>
    <w:p w14:paraId="6A934EB1"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1.</w:t>
      </w:r>
      <w:r w:rsidRPr="00DE678F">
        <w:rPr>
          <w:rFonts w:asciiTheme="majorBidi" w:hAnsiTheme="majorBidi" w:cstheme="majorBidi"/>
        </w:rPr>
        <w:tab/>
        <w:t xml:space="preserve">Data preprocessing and feature transformation layer </w:t>
      </w:r>
    </w:p>
    <w:p w14:paraId="303ECFB1"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2.</w:t>
      </w:r>
      <w:r w:rsidRPr="00DE678F">
        <w:rPr>
          <w:rFonts w:asciiTheme="majorBidi" w:hAnsiTheme="majorBidi" w:cstheme="majorBidi"/>
        </w:rPr>
        <w:tab/>
        <w:t xml:space="preserve">Sequential deep learning layer (LSTM-based modeling) </w:t>
      </w:r>
    </w:p>
    <w:p w14:paraId="74B288A6"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3.</w:t>
      </w:r>
      <w:r w:rsidRPr="00DE678F">
        <w:rPr>
          <w:rFonts w:asciiTheme="majorBidi" w:hAnsiTheme="majorBidi" w:cstheme="majorBidi"/>
        </w:rPr>
        <w:tab/>
        <w:t xml:space="preserve">Ensemble optimization and output refinement layer </w:t>
      </w:r>
    </w:p>
    <w:p w14:paraId="7A05BF98" w14:textId="7E63975A"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Data Collection and Preprocessing</w:t>
      </w:r>
    </w:p>
    <w:p w14:paraId="49941EA9"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dataset consists of historical crude oil price records obtained from standardized energy market sources such as Brent crude datasets (FRED database reference included in bibliography). The raw data exhibits high volatility, structural breaks, and irregular temporal fluctuations.</w:t>
      </w:r>
    </w:p>
    <w:p w14:paraId="52690599" w14:textId="77777777"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Preprocessing Steps:</w:t>
      </w:r>
    </w:p>
    <w:p w14:paraId="22088E02"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Normalization: Min-Max scaling is applied to ensure uniform feature distribution. </w:t>
      </w:r>
    </w:p>
    <w:p w14:paraId="3D3CAAE2"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Missing Value Treatment: Linear interpolation is used to maintain temporal continuity. </w:t>
      </w:r>
    </w:p>
    <w:p w14:paraId="5B7476DE"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Noise Reduction: Moving average smoothing reduces short-term fluctuations. </w:t>
      </w:r>
    </w:p>
    <w:p w14:paraId="1E010987"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Feature Engineering: Lag features and rolling statistical indicators (mean, variance) are constructed to capture temporal dependencies. </w:t>
      </w:r>
    </w:p>
    <w:p w14:paraId="28D74295"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This step ensures that the dataset is optimized for deep learning ingestion and reduces the risk of overfitting.</w:t>
      </w:r>
    </w:p>
    <w:p w14:paraId="66595552" w14:textId="4DB24610"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Feature Transformation Using Hybrid Decomposition</w:t>
      </w:r>
    </w:p>
    <w:p w14:paraId="0C2B1DF5"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To improve predictive efficiency, the model incorporates decomposition-based preprocessing inspired by wavelet and ensemble learning literature (</w:t>
      </w:r>
      <w:proofErr w:type="spellStart"/>
      <w:r w:rsidRPr="00DE678F">
        <w:rPr>
          <w:rFonts w:asciiTheme="majorBidi" w:hAnsiTheme="majorBidi" w:cstheme="majorBidi"/>
        </w:rPr>
        <w:t>Jammazi</w:t>
      </w:r>
      <w:proofErr w:type="spellEnd"/>
      <w:r w:rsidRPr="00DE678F">
        <w:rPr>
          <w:rFonts w:asciiTheme="majorBidi" w:hAnsiTheme="majorBidi" w:cstheme="majorBidi"/>
        </w:rPr>
        <w:t>, 2012; Sun et al., 2018). The objective is to separate the time series into:</w:t>
      </w:r>
    </w:p>
    <w:p w14:paraId="6D28FA72"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Trend component </w:t>
      </w:r>
    </w:p>
    <w:p w14:paraId="581CDB54"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Seasonal component </w:t>
      </w:r>
    </w:p>
    <w:p w14:paraId="6616FF5A"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Residual noise component </w:t>
      </w:r>
    </w:p>
    <w:p w14:paraId="1B4F17BC"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lastRenderedPageBreak/>
        <w:t>This decomposition enhances the model’s ability to capture both macroeconomic trends and micro-level fluctuations in crude oil prices.</w:t>
      </w:r>
    </w:p>
    <w:p w14:paraId="08205062" w14:textId="4B36C315"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LSTM-Based Sequential Learning Module</w:t>
      </w:r>
    </w:p>
    <w:p w14:paraId="5AB864FD"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core predictive engine is built using Long Short-Term Memory (LSTM) networks, a specialized form of recurrent neural network designed to capture long-range dependencies in sequential data.</w:t>
      </w:r>
    </w:p>
    <w:p w14:paraId="6F073040"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LSTM architecture includes:</w:t>
      </w:r>
    </w:p>
    <w:p w14:paraId="01D2E823"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Input gate (controls incoming information) </w:t>
      </w:r>
    </w:p>
    <w:p w14:paraId="132034F3"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Forget gate (removes irrelevant memory) </w:t>
      </w:r>
    </w:p>
    <w:p w14:paraId="559C0487"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Output gate (controls prediction output) </w:t>
      </w:r>
    </w:p>
    <w:p w14:paraId="5D668D00"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Despite its effectiveness, LSTM networks are still influenced by optimization challenges related to gradient propagation, as identified in earlier foundational research (Bengio &amp; P. F., 1994). This limitation is mitigated through architectural hybridization and ensemble refinement.</w:t>
      </w:r>
    </w:p>
    <w:p w14:paraId="423C30A9"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LSTM layer is trained using backpropagation through time (BPTT), implemented in TensorFlow (Abadi et al., 2016).</w:t>
      </w:r>
    </w:p>
    <w:p w14:paraId="63C9B32A" w14:textId="0EE6CC5B"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Hybrid Ensemble Optimization Layer</w:t>
      </w:r>
    </w:p>
    <w:p w14:paraId="4BEB4280"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To improve predictive stability, the LSTM output is further refined using an ensemble optimization layer. This layer integrates principles from boosting-based methods such as XGBoost and AdaBoost-LSTM models (Busari &amp; GA, 2021; Gumus &amp; K., 2021).</w:t>
      </w:r>
    </w:p>
    <w:p w14:paraId="1B630617"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Key functions include:</w:t>
      </w:r>
    </w:p>
    <w:p w14:paraId="40ED4ED0"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Error correction using residual learning </w:t>
      </w:r>
    </w:p>
    <w:p w14:paraId="6AF54CB7"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Weighted aggregation of predictions </w:t>
      </w:r>
    </w:p>
    <w:p w14:paraId="5F8CE970"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Adaptive adjustment based on volatility conditions </w:t>
      </w:r>
    </w:p>
    <w:p w14:paraId="3BE44953"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This hybridization ensures that prediction errors from LSTM are minimized and that model robustness is enhanced under sudden market shocks.</w:t>
      </w:r>
    </w:p>
    <w:p w14:paraId="3C324E3F" w14:textId="473A7CB9"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Training Strategy and Loss Optimization</w:t>
      </w:r>
    </w:p>
    <w:p w14:paraId="70F09E1A"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model is trained using a combined loss function:</w:t>
      </w:r>
    </w:p>
    <w:p w14:paraId="59EE35C4"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Mean Squared Error (MSE) for accuracy optimization </w:t>
      </w:r>
    </w:p>
    <w:p w14:paraId="229196D1"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Mean Absolute Error (MAE) for robustness against outliers (Hodson, 2022) </w:t>
      </w:r>
    </w:p>
    <w:p w14:paraId="46539802"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Gradient-based optimization is applied; however, due to known limitations in long-term dependency learning (Bengio &amp; P. F., 1994), adaptive learning rate techniques such as Adam optimizer are incorporated to stabilize convergence.</w:t>
      </w:r>
    </w:p>
    <w:p w14:paraId="37E683AE" w14:textId="29CFB1DB"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Evaluation Metrics</w:t>
      </w:r>
    </w:p>
    <w:p w14:paraId="21566C60"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performance of the proposed model is evaluated using:</w:t>
      </w:r>
    </w:p>
    <w:p w14:paraId="0B886144"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RMSE (Root Mean Square Error) </w:t>
      </w:r>
    </w:p>
    <w:p w14:paraId="0A081EA3"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MAE (Mean Absolute Error) </w:t>
      </w:r>
    </w:p>
    <w:p w14:paraId="748BF7C7"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MAPE (Mean Absolute Percentage Error) </w:t>
      </w:r>
    </w:p>
    <w:p w14:paraId="38AD7FB6"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Directional Accuracy Index </w:t>
      </w:r>
    </w:p>
    <w:p w14:paraId="73092AAD"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These metrics provide a comprehensive evaluation of both predictive accuracy and directional forecasting capability.</w:t>
      </w:r>
    </w:p>
    <w:p w14:paraId="2B35FBD0" w14:textId="2DCD7C81"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Results / Findings</w:t>
      </w:r>
    </w:p>
    <w:p w14:paraId="510A306E"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experimental evaluation of the proposed Hybrid Neural Network Architecture demonstrates significant improvements in crude oil price forecasting accuracy compared to traditional and standalone deep learning models.</w:t>
      </w:r>
    </w:p>
    <w:p w14:paraId="0EF0CBF3" w14:textId="3F2E2114"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Predictive Accuracy Performance</w:t>
      </w:r>
    </w:p>
    <w:p w14:paraId="46CCD08A"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hybrid model achieves lower RMSE and MAE values compared to baseline models such as standalone LSTM, SVM, and XGBoost. The integration of ensemble refinement significantly reduces prediction variance, especially during high-volatility periods.</w:t>
      </w:r>
    </w:p>
    <w:p w14:paraId="3A691EDE"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LSTM alone shows strong temporal learning but suffers from instability during abrupt price shocks. </w:t>
      </w:r>
    </w:p>
    <w:p w14:paraId="6DD1F13A"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SVM-based models provide moderate stability but fail to capture deep temporal dependencies. </w:t>
      </w:r>
    </w:p>
    <w:p w14:paraId="2A204252"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XGBoost performs well on structured features but lacks sequential memory capability. </w:t>
      </w:r>
    </w:p>
    <w:p w14:paraId="329D0E32"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The proposed hybrid model combines these strengths effectively. </w:t>
      </w:r>
    </w:p>
    <w:p w14:paraId="158677CF" w14:textId="67B7C94A"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Volatility Handling Capability</w:t>
      </w:r>
    </w:p>
    <w:p w14:paraId="62AF0DF9"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One of the key findings is the model’s strong ability to handle volatility clustering in crude oil markets. During periods of sudden price spikes or geopolitical disruptions, the hybrid architecture maintains stable forecasting performance due to ensemble correction mechanisms.</w:t>
      </w:r>
    </w:p>
    <w:p w14:paraId="70B7F820"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 xml:space="preserve">This confirms findings in financial risk modeling </w:t>
      </w:r>
      <w:r w:rsidRPr="00DE678F">
        <w:rPr>
          <w:rFonts w:asciiTheme="majorBidi" w:hAnsiTheme="majorBidi" w:cstheme="majorBidi"/>
        </w:rPr>
        <w:lastRenderedPageBreak/>
        <w:t>literature, where multi-source risk integration improves predictive resilience (Wang et al., 2020).</w:t>
      </w:r>
    </w:p>
    <w:p w14:paraId="6B301D26" w14:textId="10B21199"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Long-Term Dependency Learning</w:t>
      </w:r>
    </w:p>
    <w:p w14:paraId="2FDB2474"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LSTM component successfully captures long-term dependencies in oil price trends. However, consistent with theoretical limitations identified by Bengio &amp; P. F. (1994), standalone LSTM exhibits reduced sensitivity over extended time horizons.</w:t>
      </w:r>
    </w:p>
    <w:p w14:paraId="0512547B"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hybrid ensemble layer compensates for this limitation, improving long-range forecasting consistency.</w:t>
      </w:r>
    </w:p>
    <w:p w14:paraId="42077963" w14:textId="1A59DBC6"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Comparative Model Analysis</w:t>
      </w:r>
    </w:p>
    <w:p w14:paraId="33C8AFAB"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hybrid model outperforms:</w:t>
      </w:r>
    </w:p>
    <w:p w14:paraId="350811C2"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Classical statistical models (ARIMA-type approaches) </w:t>
      </w:r>
    </w:p>
    <w:p w14:paraId="119E02C4"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Standalone machine learning models (SVM, XGBoost) </w:t>
      </w:r>
    </w:p>
    <w:p w14:paraId="75DCD106"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Pure deep learning models (LSTM, GRU) </w:t>
      </w:r>
    </w:p>
    <w:p w14:paraId="334BB962"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improvement is particularly significant in volatile market phases where nonlinear interactions dominate price behavior.</w:t>
      </w:r>
    </w:p>
    <w:p w14:paraId="3E1956C2" w14:textId="50995290"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Discussion</w:t>
      </w:r>
    </w:p>
    <w:p w14:paraId="6D22364D"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results confirm that hybridization of neural networks with ensemble learning significantly enhances crude oil price forecasting performance. The integration of LSTM with optimization-based refinement layers allows the system to capture both temporal dependencies and nonlinear market behavior effectively.</w:t>
      </w:r>
    </w:p>
    <w:p w14:paraId="548A2268" w14:textId="250148DD"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Theoretical Implications</w:t>
      </w:r>
    </w:p>
    <w:p w14:paraId="5256C220"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study reinforces the theoretical observation that gradient-based recurrent models face intrinsic limitations in learning long-term dependencies (Bengio &amp; P. F., 1994). By integrating ensemble correction mechanisms, this limitation is partially mitigated, demonstrating the importance of architectural augmentation in deep learning systems.</w:t>
      </w:r>
    </w:p>
    <w:p w14:paraId="6562375D"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Furthermore, the results support the growing consensus in literature that hybrid models outperform standalone architectures in financial forecasting tasks (Zhao et al., 2017; Sun et al., 2018).</w:t>
      </w:r>
    </w:p>
    <w:p w14:paraId="17A10F6F" w14:textId="3D550500"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Practical Implications</w:t>
      </w:r>
    </w:p>
    <w:p w14:paraId="18D9C19C"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proposed model has significant applications in:</w:t>
      </w:r>
    </w:p>
    <w:p w14:paraId="74E53E8F"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Energy market forecasting systems </w:t>
      </w:r>
    </w:p>
    <w:p w14:paraId="199DD954"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Financial risk management </w:t>
      </w:r>
    </w:p>
    <w:p w14:paraId="57A73C36"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Investment decision-making tools </w:t>
      </w:r>
    </w:p>
    <w:p w14:paraId="45BDD582"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Policy-level economic planning </w:t>
      </w:r>
    </w:p>
    <w:p w14:paraId="1EB4B9AA"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Its ability to handle volatility makes it suitable for real-world deployment in trading systems and energy analytics platforms.</w:t>
      </w:r>
    </w:p>
    <w:p w14:paraId="3504E7F9" w14:textId="01ADAC1E"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Limitations</w:t>
      </w:r>
    </w:p>
    <w:p w14:paraId="18441BAB"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Despite strong performance, the model has certain limitations:</w:t>
      </w:r>
    </w:p>
    <w:p w14:paraId="07E62B4B"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High computational cost due to hybrid architecture </w:t>
      </w:r>
    </w:p>
    <w:p w14:paraId="24178A41"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Dependency on quality and granularity of historical data </w:t>
      </w:r>
    </w:p>
    <w:p w14:paraId="361FA752"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Limited interpretability compared to traditional econometric models </w:t>
      </w:r>
    </w:p>
    <w:p w14:paraId="7762C81B"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w:t>
      </w:r>
      <w:r w:rsidRPr="00DE678F">
        <w:rPr>
          <w:rFonts w:asciiTheme="majorBidi" w:hAnsiTheme="majorBidi" w:cstheme="majorBidi"/>
        </w:rPr>
        <w:tab/>
        <w:t xml:space="preserve">Sensitivity to hyperparameter tuning </w:t>
      </w:r>
    </w:p>
    <w:p w14:paraId="5A26A9DF" w14:textId="253CD9C9"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Conclusion</w:t>
      </w:r>
    </w:p>
    <w:p w14:paraId="184FAAFA"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This study presents a Hybrid Neural Network Architecture designed for accurate forecasting of crude oil prices in volatile energy markets. By integrating LSTM-based sequential learning with ensemble optimization techniques, the proposed model effectively addresses limitations of traditional forecasting approaches.</w:t>
      </w:r>
    </w:p>
    <w:p w14:paraId="435EFFED"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The research demonstrates that hybrid deep learning systems significantly improve predictive accuracy, particularly under high volatility conditions. The findings also validate the theoretical challenge of long-term dependency learning in gradient-based models (Bengio &amp; P. F., 1994) and show how architectural enhancements can mitigate these issues.</w:t>
      </w:r>
    </w:p>
    <w:p w14:paraId="2E8D0F66" w14:textId="77777777" w:rsidR="00DE678F" w:rsidRPr="00DE678F" w:rsidRDefault="00DE678F" w:rsidP="00DE678F">
      <w:pPr>
        <w:spacing w:before="240"/>
        <w:jc w:val="both"/>
        <w:rPr>
          <w:rFonts w:asciiTheme="majorBidi" w:hAnsiTheme="majorBidi" w:cstheme="majorBidi"/>
        </w:rPr>
      </w:pPr>
      <w:r w:rsidRPr="00DE678F">
        <w:rPr>
          <w:rFonts w:asciiTheme="majorBidi" w:hAnsiTheme="majorBidi" w:cstheme="majorBidi"/>
        </w:rPr>
        <w:t>Future work may focus on integrating real-time geopolitical data, sentiment analysis, and reinforcement learning techniques to further enhance forecasting robustness and interpretability.</w:t>
      </w:r>
    </w:p>
    <w:p w14:paraId="02614E37" w14:textId="6B672B4F" w:rsidR="00DE678F" w:rsidRPr="00DE678F" w:rsidRDefault="00DE678F" w:rsidP="00DE678F">
      <w:pPr>
        <w:spacing w:before="240"/>
        <w:jc w:val="both"/>
        <w:rPr>
          <w:rFonts w:asciiTheme="majorBidi" w:hAnsiTheme="majorBidi" w:cstheme="majorBidi"/>
          <w:b/>
          <w:bCs/>
        </w:rPr>
      </w:pPr>
      <w:r w:rsidRPr="00DE678F">
        <w:rPr>
          <w:rFonts w:asciiTheme="majorBidi" w:hAnsiTheme="majorBidi" w:cstheme="majorBidi"/>
          <w:b/>
          <w:bCs/>
        </w:rPr>
        <w:t>References</w:t>
      </w:r>
    </w:p>
    <w:p w14:paraId="6A023792" w14:textId="70FCE15F"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 xml:space="preserve">A. a. N. I. N. </w:t>
      </w:r>
      <w:proofErr w:type="spellStart"/>
      <w:r w:rsidRPr="00DE678F">
        <w:rPr>
          <w:rFonts w:asciiTheme="majorBidi" w:hAnsiTheme="majorBidi" w:cstheme="majorBidi"/>
        </w:rPr>
        <w:t>Khashman</w:t>
      </w:r>
      <w:proofErr w:type="spellEnd"/>
      <w:r w:rsidRPr="00DE678F">
        <w:rPr>
          <w:rFonts w:asciiTheme="majorBidi" w:hAnsiTheme="majorBidi" w:cstheme="majorBidi"/>
        </w:rPr>
        <w:t>, "Intelligent prediction of crude oil price using Support Vector Machines. Applied Machine Intelligence and Informatics (SAMI), 2011 IEEE 9th International Symposium on. IEEE, 2011."</w:t>
      </w:r>
    </w:p>
    <w:p w14:paraId="721AC098" w14:textId="385FD671"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 xml:space="preserve">D. T. V. R. K. Y. Jeevan Nagendra Kumar, “GIS-MAP Based Spatial Analysis of Rainfall Data of Andhra Pradesh and Telangana States Using R”, in </w:t>
      </w:r>
      <w:r w:rsidRPr="00DE678F">
        <w:rPr>
          <w:rFonts w:asciiTheme="majorBidi" w:hAnsiTheme="majorBidi" w:cstheme="majorBidi"/>
        </w:rPr>
        <w:lastRenderedPageBreak/>
        <w:t>International Journal of Electrical and Computer Engineering (IJECE), Vol 7, No 1, February 2017.</w:t>
      </w:r>
    </w:p>
    <w:p w14:paraId="075B6EEC" w14:textId="5D0EF87B"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 xml:space="preserve">A. C. </w:t>
      </w:r>
      <w:proofErr w:type="spellStart"/>
      <w:r w:rsidRPr="00DE678F">
        <w:rPr>
          <w:rFonts w:asciiTheme="majorBidi" w:hAnsiTheme="majorBidi" w:cstheme="majorBidi"/>
        </w:rPr>
        <w:t>Jammazi</w:t>
      </w:r>
      <w:proofErr w:type="spellEnd"/>
      <w:r w:rsidRPr="00DE678F">
        <w:rPr>
          <w:rFonts w:asciiTheme="majorBidi" w:hAnsiTheme="majorBidi" w:cstheme="majorBidi"/>
        </w:rPr>
        <w:t xml:space="preserve"> R, "Crude oil price forecasting: Experimental evidence from wavelet decomposition and neural network modeling. Energy Economics, 2012 May."</w:t>
      </w:r>
    </w:p>
    <w:p w14:paraId="59BB1632" w14:textId="05CF9AF3"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M. B. P. C. J. C. Z. D. A. D. J.</w:t>
      </w:r>
      <w:proofErr w:type="gramStart"/>
      <w:r w:rsidRPr="00DE678F">
        <w:rPr>
          <w:rFonts w:asciiTheme="majorBidi" w:hAnsiTheme="majorBidi" w:cstheme="majorBidi"/>
        </w:rPr>
        <w:t xml:space="preserve"> ..</w:t>
      </w:r>
      <w:proofErr w:type="gramEnd"/>
      <w:r w:rsidRPr="00DE678F">
        <w:rPr>
          <w:rFonts w:asciiTheme="majorBidi" w:hAnsiTheme="majorBidi" w:cstheme="majorBidi"/>
        </w:rPr>
        <w:t xml:space="preserve"> &amp;. K. M. Abadi, "</w:t>
      </w:r>
      <w:proofErr w:type="spellStart"/>
      <w:r w:rsidRPr="00DE678F">
        <w:rPr>
          <w:rFonts w:asciiTheme="majorBidi" w:hAnsiTheme="majorBidi" w:cstheme="majorBidi"/>
        </w:rPr>
        <w:t>Tensorflow</w:t>
      </w:r>
      <w:proofErr w:type="spellEnd"/>
      <w:r w:rsidRPr="00DE678F">
        <w:rPr>
          <w:rFonts w:asciiTheme="majorBidi" w:hAnsiTheme="majorBidi" w:cstheme="majorBidi"/>
        </w:rPr>
        <w:t>: A system for large-scale machine learning. In 12th {USENIX} Symposium on Operating Systems Design and Implementation ({OSDI} 16), pp. 265-283., 2016."</w:t>
      </w:r>
    </w:p>
    <w:p w14:paraId="794F5A6C" w14:textId="1E5FB156"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S. e. a. Wang, "Handling financial risks in crude oil imports: Taking into account crude oil prices as well as country and transportation risks. Transportation Research Part E: Logistics and Transportation Review 133, 2020."</w:t>
      </w:r>
    </w:p>
    <w:p w14:paraId="744CCE67" w14:textId="494F79EB"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A. S. G. C. B. Y. J. N. K. G. K. B Sankara Babu, "Medical Disease Prediction using Grey Wolf optimization and Auto Encoder based Recurrent Neural Network”, Periodicals of Engineering and Natural Sciences, June 2018."</w:t>
      </w:r>
    </w:p>
    <w:p w14:paraId="41973849" w14:textId="3061663E"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Y. S. P. &amp;. F. P. Bengio, "Learning long-term dependencies with gradient descent is difficult, IEEE Transactions on Neural Networks, pp. 157-166., 1994."</w:t>
      </w:r>
    </w:p>
    <w:p w14:paraId="61570D87" w14:textId="75108A28"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 xml:space="preserve">L. A. A. A. A. </w:t>
      </w:r>
      <w:proofErr w:type="spellStart"/>
      <w:r w:rsidRPr="00DE678F">
        <w:rPr>
          <w:rFonts w:asciiTheme="majorBidi" w:hAnsiTheme="majorBidi" w:cstheme="majorBidi"/>
        </w:rPr>
        <w:t>Gabralla</w:t>
      </w:r>
      <w:proofErr w:type="spellEnd"/>
      <w:r w:rsidRPr="00DE678F">
        <w:rPr>
          <w:rFonts w:asciiTheme="majorBidi" w:hAnsiTheme="majorBidi" w:cstheme="majorBidi"/>
        </w:rPr>
        <w:t>, "Computational modeling of crude oil price forecasting: A review of two decades of research. International Journal of Computer Information Systems and Industrial Management Applications, pp. 729-740, 2013."</w:t>
      </w:r>
    </w:p>
    <w:p w14:paraId="63AED90B" w14:textId="1C476225"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T. O. Hodson, "Root-mean-square error (RMSE) or mean absolute error (MAE), https://gmd.copernicus.org/articles/15/5481/2022/."</w:t>
      </w:r>
    </w:p>
    <w:p w14:paraId="45C97581" w14:textId="24C0FE9B"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L. D. Busari GA, "Crude oil price prediction: A comparison between AdaBoost-LSTM and AdaBoost-GRU for improving forecasting performance. Computers &amp; Chemical Engineering. 155:107513, 2021."</w:t>
      </w:r>
    </w:p>
    <w:p w14:paraId="5CADAF07" w14:textId="6C9598DF"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G. S. K. P. P. C. L. G. S. G. V. R. Dr. Y. Jeevan Nagendra Kumar, "A Data Science View on Effects of Agriculture &amp; Industry Sector on the GDP of India, International Journal of Recent Technology and Engineering, Vol-8, No.1, May 2019."</w:t>
      </w:r>
    </w:p>
    <w:p w14:paraId="0E207F3B" w14:textId="1F04F426"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Z. S. Ghaffari A, "A novel algorithm for prediction of crude oil price variation based on soft computing. Energy Economics, 2009."</w:t>
      </w:r>
    </w:p>
    <w:p w14:paraId="0FBDAC30" w14:textId="55679726"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K. M. Gumus M, "Crude oil price forecasting using XGBoost, Computer science and engineering (UBMK)."</w:t>
      </w:r>
    </w:p>
    <w:p w14:paraId="7A83784A" w14:textId="492EC991"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S. &amp;. S. J. Hochreiter, "Long short-term memory. Neural, 1997."</w:t>
      </w:r>
    </w:p>
    <w:p w14:paraId="20AA9A55" w14:textId="11BEF81E"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 xml:space="preserve">L. D. X. S. A. A. G. </w:t>
      </w:r>
      <w:proofErr w:type="spellStart"/>
      <w:r w:rsidRPr="00DE678F">
        <w:rPr>
          <w:rFonts w:asciiTheme="majorBidi" w:hAnsiTheme="majorBidi" w:cstheme="majorBidi"/>
        </w:rPr>
        <w:t>Gabralla</w:t>
      </w:r>
      <w:proofErr w:type="spellEnd"/>
      <w:r w:rsidRPr="00DE678F">
        <w:rPr>
          <w:rFonts w:asciiTheme="majorBidi" w:hAnsiTheme="majorBidi" w:cstheme="majorBidi"/>
        </w:rPr>
        <w:t>, "Computational modeling of crude oil price forecasting: A review of two decades of research. International Journal of Computer Information Systems and Industrial Management Applications, 2013."</w:t>
      </w:r>
    </w:p>
    <w:p w14:paraId="4BEF74A3" w14:textId="1CFC9C0B"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 xml:space="preserve">T. A. J. a. R. K. M. R. KRULICKÝ, "Navigating the Dynamics of Brent Crude Oil Prices: Factors, Trends, and Insights. Acta </w:t>
      </w:r>
      <w:proofErr w:type="spellStart"/>
      <w:r w:rsidRPr="00DE678F">
        <w:rPr>
          <w:rFonts w:asciiTheme="majorBidi" w:hAnsiTheme="majorBidi" w:cstheme="majorBidi"/>
        </w:rPr>
        <w:t>Montanistica</w:t>
      </w:r>
      <w:proofErr w:type="spellEnd"/>
      <w:r w:rsidRPr="00DE678F">
        <w:rPr>
          <w:rFonts w:asciiTheme="majorBidi" w:hAnsiTheme="majorBidi" w:cstheme="majorBidi"/>
        </w:rPr>
        <w:t xml:space="preserve"> </w:t>
      </w:r>
      <w:proofErr w:type="spellStart"/>
      <w:r w:rsidRPr="00DE678F">
        <w:rPr>
          <w:rFonts w:asciiTheme="majorBidi" w:hAnsiTheme="majorBidi" w:cstheme="majorBidi"/>
        </w:rPr>
        <w:t>Slovaca</w:t>
      </w:r>
      <w:proofErr w:type="spellEnd"/>
      <w:r w:rsidRPr="00DE678F">
        <w:rPr>
          <w:rFonts w:asciiTheme="majorBidi" w:hAnsiTheme="majorBidi" w:cstheme="majorBidi"/>
        </w:rPr>
        <w:t xml:space="preserve"> 29.1, 2024."</w:t>
      </w:r>
    </w:p>
    <w:p w14:paraId="3C5A6F2D" w14:textId="29FE21C0"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S. Y. W. S. W. Y. Sun S, "Interval decomposition ensemble approach for crude oil price forecasting. Energy Economics 76:274, 2018."</w:t>
      </w:r>
    </w:p>
    <w:p w14:paraId="7467E2A4" w14:textId="3D13414C" w:rsidR="00DE678F" w:rsidRPr="00DE678F" w:rsidRDefault="00DE678F" w:rsidP="00DE678F">
      <w:pPr>
        <w:pStyle w:val="ListParagraph"/>
        <w:numPr>
          <w:ilvl w:val="0"/>
          <w:numId w:val="3"/>
        </w:numPr>
        <w:spacing w:before="240"/>
        <w:ind w:left="360"/>
        <w:jc w:val="both"/>
        <w:rPr>
          <w:rFonts w:asciiTheme="majorBidi" w:hAnsiTheme="majorBidi" w:cstheme="majorBidi"/>
        </w:rPr>
      </w:pPr>
      <w:proofErr w:type="spellStart"/>
      <w:r w:rsidRPr="00DE678F">
        <w:rPr>
          <w:rFonts w:asciiTheme="majorBidi" w:hAnsiTheme="majorBidi" w:cstheme="majorBidi"/>
        </w:rPr>
        <w:t>Keras</w:t>
      </w:r>
      <w:proofErr w:type="spellEnd"/>
      <w:r w:rsidRPr="00DE678F">
        <w:rPr>
          <w:rFonts w:asciiTheme="majorBidi" w:hAnsiTheme="majorBidi" w:cstheme="majorBidi"/>
        </w:rPr>
        <w:t xml:space="preserve"> Documentation, "https://keras.io./"</w:t>
      </w:r>
    </w:p>
    <w:p w14:paraId="506EB0DA" w14:textId="7FDC0E90"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S. W. Li, "Text-based crude oil price forecasting: A deep learning approach. International Journal of Forecasting, 2019."</w:t>
      </w:r>
    </w:p>
    <w:p w14:paraId="41837E07" w14:textId="538DA3BC"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L. X. Z. a. S. W. Yu, "Assessing potentiality of support vector machine method in crude oil price forecasting. EURASIA Journal of Mathematics, Science and Technology Education, 2017."</w:t>
      </w:r>
    </w:p>
    <w:p w14:paraId="6C869C6B" w14:textId="3247DABF"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A. e. a. Mo, "Developing window behavior models for residential buildings using XGBoost algorithm. Energy and Buildings 205, 2019."</w:t>
      </w:r>
    </w:p>
    <w:p w14:paraId="032BB8D3" w14:textId="4F5974B6"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Y. J. L. a. L. Y. Zhao, "A deep learning ensemble approach for crude oil price forecasting. Energy Economics, 2017."</w:t>
      </w:r>
    </w:p>
    <w:p w14:paraId="3F5E252F" w14:textId="0FB796A1"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H. e. a. Mo, "Developing window behavior models for residential buildings using XGBoost algorithm. Energy and Buildings 205, 2019."</w:t>
      </w:r>
    </w:p>
    <w:p w14:paraId="19C54E33" w14:textId="19DE8F5F"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D. e. a. Wen, "Extreme risk spillovers between crude oil prices and the US exchange rate. Energy 212, 2020."</w:t>
      </w:r>
    </w:p>
    <w:p w14:paraId="4155C801" w14:textId="56CC9C64"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S. e. a. Wang, "Crude oil price forecasting using XGBoost. Computer science and engineering (UBMK)."</w:t>
      </w:r>
    </w:p>
    <w:p w14:paraId="12E6A12A" w14:textId="0D281E45"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 xml:space="preserve">Y.-X. Q.-B. W. a. J.-Q. Z. Wu, "Improved EEMD-based crude oil price forecasting using LSTM networks. </w:t>
      </w:r>
      <w:proofErr w:type="spellStart"/>
      <w:r w:rsidRPr="00DE678F">
        <w:rPr>
          <w:rFonts w:asciiTheme="majorBidi" w:hAnsiTheme="majorBidi" w:cstheme="majorBidi"/>
        </w:rPr>
        <w:t>Physica</w:t>
      </w:r>
      <w:proofErr w:type="spellEnd"/>
      <w:r w:rsidRPr="00DE678F">
        <w:rPr>
          <w:rFonts w:asciiTheme="majorBidi" w:hAnsiTheme="majorBidi" w:cstheme="majorBidi"/>
        </w:rPr>
        <w:t xml:space="preserve"> A: Statistical Mechanics and its Applications 516, pp. 114-124, 2019."</w:t>
      </w:r>
    </w:p>
    <w:p w14:paraId="34C170B8" w14:textId="1FD679DE"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W. e. a. Xie, "A new method for crude oil price forecasting based on support vector machines, Computational Science–ICCS 2006."</w:t>
      </w:r>
    </w:p>
    <w:p w14:paraId="7C0E1FFA" w14:textId="6097BE15"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 xml:space="preserve">T. Vijayakumar, "COMPARATIVE STUDY OF CAPSULE NEURAL NETWORK IN VARIOUS </w:t>
      </w:r>
      <w:r w:rsidRPr="00DE678F">
        <w:rPr>
          <w:rFonts w:asciiTheme="majorBidi" w:hAnsiTheme="majorBidi" w:cstheme="majorBidi"/>
        </w:rPr>
        <w:lastRenderedPageBreak/>
        <w:t>APPLICATIONS. Journal of Artificial Intelligence, Vol 1(01), pp. 19-27, 2019."</w:t>
      </w:r>
    </w:p>
    <w:p w14:paraId="44EDB18E" w14:textId="01C73307"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https://fred.stlouisfed.org/series/DCOILBRENTEU</w:t>
      </w:r>
    </w:p>
    <w:p w14:paraId="6DC1789D" w14:textId="58432D6A"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A. Bilal et al., "BC-</w:t>
      </w:r>
      <w:proofErr w:type="spellStart"/>
      <w:r w:rsidRPr="00DE678F">
        <w:rPr>
          <w:rFonts w:asciiTheme="majorBidi" w:hAnsiTheme="majorBidi" w:cstheme="majorBidi"/>
        </w:rPr>
        <w:t>QNet</w:t>
      </w:r>
      <w:proofErr w:type="spellEnd"/>
      <w:r w:rsidRPr="00DE678F">
        <w:rPr>
          <w:rFonts w:asciiTheme="majorBidi" w:hAnsiTheme="majorBidi" w:cstheme="majorBidi"/>
        </w:rPr>
        <w:t>: A quantum-infused ELM model for breast cancer diagnosis. Computers in Biology and Medicine, 2024."</w:t>
      </w:r>
    </w:p>
    <w:p w14:paraId="323D0BAF" w14:textId="374CBA3E"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M. Shafiq et al., "Thermal modeling and Machine learning for optimizing heat transfer in smart city infrastructure balancing energy efficiency and Climate Impact. Thermal Science and Engineering Progress, 2024."</w:t>
      </w:r>
    </w:p>
    <w:p w14:paraId="6AF5FABC" w14:textId="5B0FD85B"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M. Shafiq et al., "Efficient nanoscale characterization of wafer surfaces using intelligent sampling and Bayesian optimization. Thermal Science and Engineering Progress, 2024."</w:t>
      </w:r>
    </w:p>
    <w:p w14:paraId="79A0E70B" w14:textId="27F5E93B"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 xml:space="preserve">M. Shafiq et al., "Multiplexing techniques for future fiber optic communications with spatial multiplexing. </w:t>
      </w:r>
      <w:proofErr w:type="spellStart"/>
      <w:r w:rsidRPr="00DE678F">
        <w:rPr>
          <w:rFonts w:asciiTheme="majorBidi" w:hAnsiTheme="majorBidi" w:cstheme="majorBidi"/>
        </w:rPr>
        <w:t>Opt</w:t>
      </w:r>
      <w:proofErr w:type="spellEnd"/>
      <w:r w:rsidRPr="00DE678F">
        <w:rPr>
          <w:rFonts w:asciiTheme="majorBidi" w:hAnsiTheme="majorBidi" w:cstheme="majorBidi"/>
        </w:rPr>
        <w:t xml:space="preserve"> Quant Electron, 2024."</w:t>
      </w:r>
    </w:p>
    <w:p w14:paraId="2CCC8ECD" w14:textId="2BB88163" w:rsidR="00DE678F" w:rsidRPr="00DE678F" w:rsidRDefault="00DE678F" w:rsidP="00DE678F">
      <w:pPr>
        <w:pStyle w:val="ListParagraph"/>
        <w:numPr>
          <w:ilvl w:val="0"/>
          <w:numId w:val="3"/>
        </w:numPr>
        <w:spacing w:before="240"/>
        <w:ind w:left="360"/>
        <w:jc w:val="both"/>
        <w:rPr>
          <w:rFonts w:asciiTheme="majorBidi" w:hAnsiTheme="majorBidi" w:cstheme="majorBidi"/>
        </w:rPr>
      </w:pPr>
      <w:r w:rsidRPr="00DE678F">
        <w:rPr>
          <w:rFonts w:asciiTheme="majorBidi" w:hAnsiTheme="majorBidi" w:cstheme="majorBidi"/>
        </w:rPr>
        <w:t xml:space="preserve">M. Shafiq et al., "A novel Skin lesion prediction and classification technique: </w:t>
      </w:r>
      <w:proofErr w:type="spellStart"/>
      <w:r w:rsidRPr="00DE678F">
        <w:rPr>
          <w:rFonts w:asciiTheme="majorBidi" w:hAnsiTheme="majorBidi" w:cstheme="majorBidi"/>
        </w:rPr>
        <w:t>ViT‐GradCAM</w:t>
      </w:r>
      <w:proofErr w:type="spellEnd"/>
      <w:r w:rsidRPr="00DE678F">
        <w:rPr>
          <w:rFonts w:asciiTheme="majorBidi" w:hAnsiTheme="majorBidi" w:cstheme="majorBidi"/>
        </w:rPr>
        <w:t>. Skin Research and Technology, 2024."</w:t>
      </w:r>
    </w:p>
    <w:p w14:paraId="7D2FF680" w14:textId="524996D7" w:rsidR="0045727C" w:rsidRPr="000D4237" w:rsidRDefault="0045727C" w:rsidP="00DE678F">
      <w:pPr>
        <w:spacing w:before="240"/>
        <w:jc w:val="both"/>
        <w:rPr>
          <w:rFonts w:cstheme="minorHAnsi"/>
        </w:rPr>
      </w:pPr>
    </w:p>
    <w:sectPr w:rsidR="0045727C" w:rsidRPr="000D4237" w:rsidSect="004140BF">
      <w:type w:val="continuous"/>
      <w:pgSz w:w="11910" w:h="16840"/>
      <w:pgMar w:top="580" w:right="850" w:bottom="820" w:left="850" w:header="432" w:footer="632" w:gutter="0"/>
      <w:cols w:num="2" w:space="21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0E1C1" w14:textId="77777777" w:rsidR="005757D6" w:rsidRDefault="005757D6">
      <w:r>
        <w:separator/>
      </w:r>
    </w:p>
  </w:endnote>
  <w:endnote w:type="continuationSeparator" w:id="0">
    <w:p w14:paraId="6D1E5D24" w14:textId="77777777" w:rsidR="005757D6" w:rsidRDefault="00575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EB51B" w14:textId="11A07128" w:rsidR="004140BF" w:rsidRDefault="004140BF">
    <w:pPr>
      <w:pStyle w:val="Footer"/>
      <w:jc w:val="right"/>
    </w:pPr>
    <w:r>
      <w:rPr>
        <w:noProof/>
        <w:sz w:val="20"/>
      </w:rPr>
      <mc:AlternateContent>
        <mc:Choice Requires="wps">
          <w:drawing>
            <wp:anchor distT="0" distB="0" distL="0" distR="0" simplePos="0" relativeHeight="251695104" behindDoc="1" locked="0" layoutInCell="1" allowOverlap="1" wp14:anchorId="5321BACF" wp14:editId="5DF71D5E">
              <wp:simplePos x="0" y="0"/>
              <wp:positionH relativeFrom="page">
                <wp:posOffset>590550</wp:posOffset>
              </wp:positionH>
              <wp:positionV relativeFrom="page">
                <wp:posOffset>10184130</wp:posOffset>
              </wp:positionV>
              <wp:extent cx="2622550" cy="228600"/>
              <wp:effectExtent l="0" t="0" r="0" b="0"/>
              <wp:wrapNone/>
              <wp:docPr id="36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2550" cy="228600"/>
                      </a:xfrm>
                      <a:prstGeom prst="rect">
                        <a:avLst/>
                      </a:prstGeom>
                    </wps:spPr>
                    <wps:txbx>
                      <w:txbxContent>
                        <w:p w14:paraId="19DEC10B" w14:textId="79F032F2" w:rsidR="004140BF" w:rsidRPr="005F37E4" w:rsidRDefault="00000000" w:rsidP="004140BF">
                          <w:pPr>
                            <w:spacing w:before="12"/>
                            <w:ind w:left="20"/>
                            <w:rPr>
                              <w:rFonts w:asciiTheme="majorBidi" w:hAnsiTheme="majorBidi" w:cstheme="majorBidi"/>
                              <w:color w:val="0070C0"/>
                              <w:sz w:val="20"/>
                              <w:szCs w:val="20"/>
                            </w:rPr>
                          </w:pPr>
                          <w:hyperlink r:id="rId1" w:history="1">
                            <w:r w:rsidR="005F37E4" w:rsidRPr="005F37E4">
                              <w:rPr>
                                <w:rStyle w:val="Hyperlink"/>
                                <w:rFonts w:asciiTheme="majorBidi" w:hAnsiTheme="majorBidi" w:cstheme="majorBidi"/>
                                <w:color w:val="0070C0"/>
                                <w:sz w:val="20"/>
                                <w:szCs w:val="20"/>
                                <w:u w:val="none"/>
                              </w:rPr>
                              <w:t>https://aimjournals.com/index.php/ijmcsit</w:t>
                            </w:r>
                          </w:hyperlink>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321BACF" id="_x0000_t202" coordsize="21600,21600" o:spt="202" path="m,l,21600r21600,l21600,xe">
              <v:stroke joinstyle="miter"/>
              <v:path gradientshapeok="t" o:connecttype="rect"/>
            </v:shapetype>
            <v:shape id="Text Box 18" o:spid="_x0000_s1028" type="#_x0000_t202" style="position:absolute;left:0;text-align:left;margin-left:46.5pt;margin-top:801.9pt;width:206.5pt;height:18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I03lwEAACIDAAAOAAAAZHJzL2Uyb0RvYy54bWysUsGO0zAQvSPxD5bv1NlIW62ipqtdViCk&#10;FSAtfIDr2I1F4jEzbpP+PWNv2iK4IS7jsWf8/N4bb+7ncRBHi+QhtPJmVUlhg4HOh30rv3/78O5O&#10;Cko6dHqAYFt5siTvt2/fbKbY2Bp6GDqLgkECNVNsZZ9SbJQi09tR0wqiDVx0gKNOvMW96lBPjD4O&#10;qq6qtZoAu4hgLBGfPr0W5bbgO2dN+uIc2SSGVjK3VCKWuMtRbTe62aOOvTcLDf0PLEbtAz96gXrS&#10;SYsD+r+gRm8QCFxaGRgVOOeNLRpYzU31h5qXXkdbtLA5FC820f+DNZ+PL/ErijQ/wswDLCIoPoP5&#10;QeyNmiI1S0/2lBri7ix0djjmlSUIvsjeni5+2jkJw4f1uq5vb7lkuFbXd+uqGK6utyNS+mhhFDlp&#10;JfK8CgN9fKaU39fNuWUh8/p+ZpLm3Sx8l0lzZz7ZQXdiLROPs5X086DRSjF8CuxXnv05wXOyOyeY&#10;hvdQfkiWFODhkMD5QuCKuxDgQRRey6fJk/59X7quX3v7CwAA//8DAFBLAwQUAAYACAAAACEARZ/S&#10;ut8AAAAMAQAADwAAAGRycy9kb3ducmV2LnhtbEyPwU7DMBBE70j8g7VI3KgNEVET4lQVghMSIg0H&#10;jk6yTazG6xC7bfh7tic47uxo5k2xWdwoTjgH60nD/UqBQGp9Z6nX8Fm/3q1BhGioM6Mn1PCDATbl&#10;9VVh8s6fqcLTLvaCQyjkRsMQ45RLGdoBnQkrPyHxb+9nZyKfcy+72Zw53I3yQalUOmOJGwYz4fOA&#10;7WF3dBq2X1S92O/35qPaV7auM0Vv6UHr25tl+wQi4hL/zHDBZ3QomanxR+qCGDVkCU+JrKcq4Q3s&#10;eFQpS81FSrI1yLKQ/0eUvwAAAP//AwBQSwECLQAUAAYACAAAACEAtoM4kv4AAADhAQAAEwAAAAAA&#10;AAAAAAAAAAAAAAAAW0NvbnRlbnRfVHlwZXNdLnhtbFBLAQItABQABgAIAAAAIQA4/SH/1gAAAJQB&#10;AAALAAAAAAAAAAAAAAAAAC8BAABfcmVscy8ucmVsc1BLAQItABQABgAIAAAAIQDqoI03lwEAACID&#10;AAAOAAAAAAAAAAAAAAAAAC4CAABkcnMvZTJvRG9jLnhtbFBLAQItABQABgAIAAAAIQBFn9K63wAA&#10;AAwBAAAPAAAAAAAAAAAAAAAAAPEDAABkcnMvZG93bnJldi54bWxQSwUGAAAAAAQABADzAAAA/QQA&#10;AAAA&#10;" filled="f" stroked="f">
              <v:textbox inset="0,0,0,0">
                <w:txbxContent>
                  <w:p w14:paraId="19DEC10B" w14:textId="79F032F2" w:rsidR="004140BF" w:rsidRPr="005F37E4" w:rsidRDefault="00000000" w:rsidP="004140BF">
                    <w:pPr>
                      <w:spacing w:before="12"/>
                      <w:ind w:left="20"/>
                      <w:rPr>
                        <w:rFonts w:asciiTheme="majorBidi" w:hAnsiTheme="majorBidi" w:cstheme="majorBidi"/>
                        <w:color w:val="0070C0"/>
                        <w:sz w:val="20"/>
                        <w:szCs w:val="20"/>
                      </w:rPr>
                    </w:pPr>
                    <w:hyperlink r:id="rId2" w:history="1">
                      <w:r w:rsidR="005F37E4" w:rsidRPr="005F37E4">
                        <w:rPr>
                          <w:rStyle w:val="Hyperlink"/>
                          <w:rFonts w:asciiTheme="majorBidi" w:hAnsiTheme="majorBidi" w:cstheme="majorBidi"/>
                          <w:color w:val="0070C0"/>
                          <w:sz w:val="20"/>
                          <w:szCs w:val="20"/>
                          <w:u w:val="none"/>
                        </w:rPr>
                        <w:t>https://aimjournals.com/index.php/ijmcsit</w:t>
                      </w:r>
                    </w:hyperlink>
                  </w:p>
                </w:txbxContent>
              </v:textbox>
              <w10:wrap anchorx="page" anchory="page"/>
            </v:shape>
          </w:pict>
        </mc:Fallback>
      </mc:AlternateContent>
    </w:r>
    <w:r>
      <w:rPr>
        <w:color w:val="4F81BD" w:themeColor="accent1"/>
        <w:sz w:val="20"/>
        <w:szCs w:val="20"/>
      </w:rPr>
      <w:t xml:space="preserve">pg. </w:t>
    </w:r>
    <w:r>
      <w:rPr>
        <w:color w:val="4F81BD" w:themeColor="accent1"/>
        <w:sz w:val="20"/>
        <w:szCs w:val="20"/>
      </w:rPr>
      <w:fldChar w:fldCharType="begin"/>
    </w:r>
    <w:r>
      <w:rPr>
        <w:color w:val="4F81BD" w:themeColor="accent1"/>
        <w:sz w:val="20"/>
        <w:szCs w:val="20"/>
      </w:rPr>
      <w:instrText xml:space="preserve"> PAGE  \* Arabic </w:instrText>
    </w:r>
    <w:r>
      <w:rPr>
        <w:color w:val="4F81BD" w:themeColor="accent1"/>
        <w:sz w:val="20"/>
        <w:szCs w:val="20"/>
      </w:rPr>
      <w:fldChar w:fldCharType="separate"/>
    </w:r>
    <w:r>
      <w:rPr>
        <w:noProof/>
        <w:color w:val="4F81BD" w:themeColor="accent1"/>
        <w:sz w:val="20"/>
        <w:szCs w:val="20"/>
      </w:rPr>
      <w:t>1</w:t>
    </w:r>
    <w:r>
      <w:rPr>
        <w:color w:val="4F81BD"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D745D" w14:textId="77777777" w:rsidR="005757D6" w:rsidRDefault="005757D6">
      <w:r>
        <w:separator/>
      </w:r>
    </w:p>
  </w:footnote>
  <w:footnote w:type="continuationSeparator" w:id="0">
    <w:p w14:paraId="450C5D3E" w14:textId="77777777" w:rsidR="005757D6" w:rsidRDefault="00575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1BFE9" w14:textId="135EBFEB" w:rsidR="004644D6" w:rsidRDefault="004644D6" w:rsidP="009167FF">
    <w:pPr>
      <w:pStyle w:val="Header"/>
    </w:pPr>
    <w:bookmarkStart w:id="0" w:name="_Hlk193131743"/>
    <w:bookmarkStart w:id="1" w:name="_Hlk193131744"/>
    <w:r>
      <w:rPr>
        <w:noProof/>
      </w:rPr>
      <mc:AlternateContent>
        <mc:Choice Requires="wps">
          <w:drawing>
            <wp:anchor distT="0" distB="0" distL="114300" distR="114300" simplePos="0" relativeHeight="251693056" behindDoc="1" locked="0" layoutInCell="1" allowOverlap="1" wp14:anchorId="1504F15C" wp14:editId="6E9D87F0">
              <wp:simplePos x="0" y="0"/>
              <wp:positionH relativeFrom="margin">
                <wp:align>left</wp:align>
              </wp:positionH>
              <wp:positionV relativeFrom="page">
                <wp:posOffset>114300</wp:posOffset>
              </wp:positionV>
              <wp:extent cx="4781550" cy="400050"/>
              <wp:effectExtent l="0" t="0" r="0" b="0"/>
              <wp:wrapNone/>
              <wp:docPr id="719128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E7B7D" w14:textId="3D792E3C" w:rsidR="009167FF" w:rsidRPr="00E27238" w:rsidRDefault="005F37E4" w:rsidP="009167FF">
                          <w:pPr>
                            <w:spacing w:before="9"/>
                            <w:rPr>
                              <w:b/>
                              <w:iCs/>
                              <w:sz w:val="26"/>
                            </w:rPr>
                          </w:pPr>
                          <w:r w:rsidRPr="005F37E4">
                            <w:rPr>
                              <w:b/>
                              <w:iCs/>
                              <w:sz w:val="26"/>
                            </w:rPr>
                            <w:t xml:space="preserve">INTERNATIONAL JOURNAL OF MODERN COMPUTER SCIENCE AND IT INNOVATIONS </w:t>
                          </w:r>
                          <w:r w:rsidRPr="00E27238">
                            <w:rPr>
                              <w:b/>
                              <w:iCs/>
                              <w:sz w:val="26"/>
                            </w:rPr>
                            <w:t>(</w:t>
                          </w:r>
                          <w:r w:rsidRPr="009C48F0">
                            <w:rPr>
                              <w:b/>
                              <w:iCs/>
                              <w:sz w:val="26"/>
                            </w:rPr>
                            <w:t>IJ</w:t>
                          </w:r>
                          <w:r>
                            <w:rPr>
                              <w:b/>
                              <w:iCs/>
                              <w:sz w:val="26"/>
                            </w:rPr>
                            <w:t>MCSIT</w:t>
                          </w:r>
                          <w:r w:rsidRPr="00E27238">
                            <w:rPr>
                              <w:b/>
                              <w:iCs/>
                              <w:sz w:val="2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04F15C" id="_x0000_t202" coordsize="21600,21600" o:spt="202" path="m,l,21600r21600,l21600,xe">
              <v:stroke joinstyle="miter"/>
              <v:path gradientshapeok="t" o:connecttype="rect"/>
            </v:shapetype>
            <v:shape id="Text Box 2" o:spid="_x0000_s1027" type="#_x0000_t202" style="position:absolute;margin-left:0;margin-top:9pt;width:376.5pt;height:31.5pt;z-index:-2516234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OD1AEAAJEDAAAOAAAAZHJzL2Uyb0RvYy54bWysU9tu2zAMfR+wfxD0vtgp2q0w4hRdiw4D&#10;ugvQ7QMUWbKF2aJGKrGzrx8lx+kub8NeBJqUDs85pDc309CLg0Fy4Gu5XpVSGK+hcb6t5dcvD6+u&#10;paCofKN68KaWR0PyZvvyxWYMlbmADvrGoGAQT9UYatnFGKqiIN2ZQdEKgvFctICDivyJbdGgGhl9&#10;6IuLsnxdjIBNQNCGiLP3c1FuM761RsdP1pKJoq8lc4v5xHzu0llsN6pqUYXO6RMN9Q8sBuU8Nz1D&#10;3auoxB7dX1CD0wgENq40DAVY67TJGljNuvxDzVOngsla2BwKZ5vo/8Hqj4en8BlFnN7CxAPMIig8&#10;gv5GwsNdp3xrbhFh7IxquPE6WVaMgarT02Q1VZRAduMHaHjIah8hA00Wh+QK6xSMzgM4nk03UxSa&#10;k5dvrtdXV1zSXLssy5Lj1EJVy+uAFN8ZGEQKaok81IyuDo8U56vLldTMw4Pr+zzY3v+WYMyUyewT&#10;4Zl6nHYT304qdtAcWQfCvCe81xx0gD+kGHlHaknf9wqNFP17z16khVoCXILdEiiv+WktoxRzeBfn&#10;xdsHdG3HyLPbHm7ZL+uylGcWJ54892zGaUfTYv36nW89/0nbnwAAAP//AwBQSwMEFAAGAAgAAAAh&#10;AHNRbX/bAAAABgEAAA8AAABkcnMvZG93bnJldi54bWxMj81OwzAQhO9IvIO1SNyoXRAlhDhVheCE&#10;hEjDgaMTbxOr8TrEbhvenuVET/szq5lvi/XsB3HEKbpAGpYLBQKpDdZRp+Gzfr3JQMRkyJohEGr4&#10;wQjr8vKiMLkNJ6rwuE2dYBOKudHQpzTmUsa2R2/iIoxIrO3C5E3iceqkncyJzf0gb5VaSW8ccUJv&#10;Rnzusd1vD17D5ouqF/f93nxUu8rV9aOit9Ve6+urefMEIuGc/o/hD5/RoWSmJhzIRjFo4EcSbzOu&#10;rD7c33HTaMiWCmRZyHP88hcAAP//AwBQSwECLQAUAAYACAAAACEAtoM4kv4AAADhAQAAEwAAAAAA&#10;AAAAAAAAAAAAAAAAW0NvbnRlbnRfVHlwZXNdLnhtbFBLAQItABQABgAIAAAAIQA4/SH/1gAAAJQB&#10;AAALAAAAAAAAAAAAAAAAAC8BAABfcmVscy8ucmVsc1BLAQItABQABgAIAAAAIQA+TAOD1AEAAJED&#10;AAAOAAAAAAAAAAAAAAAAAC4CAABkcnMvZTJvRG9jLnhtbFBLAQItABQABgAIAAAAIQBzUW1/2wAA&#10;AAYBAAAPAAAAAAAAAAAAAAAAAC4EAABkcnMvZG93bnJldi54bWxQSwUGAAAAAAQABADzAAAANgUA&#10;AAAA&#10;" filled="f" stroked="f">
              <v:textbox inset="0,0,0,0">
                <w:txbxContent>
                  <w:p w14:paraId="287E7B7D" w14:textId="3D792E3C" w:rsidR="009167FF" w:rsidRPr="00E27238" w:rsidRDefault="005F37E4" w:rsidP="009167FF">
                    <w:pPr>
                      <w:spacing w:before="9"/>
                      <w:rPr>
                        <w:b/>
                        <w:iCs/>
                        <w:sz w:val="26"/>
                      </w:rPr>
                    </w:pPr>
                    <w:r w:rsidRPr="005F37E4">
                      <w:rPr>
                        <w:b/>
                        <w:iCs/>
                        <w:sz w:val="26"/>
                      </w:rPr>
                      <w:t xml:space="preserve">INTERNATIONAL JOURNAL OF MODERN COMPUTER SCIENCE AND IT INNOVATIONS </w:t>
                    </w:r>
                    <w:r w:rsidRPr="00E27238">
                      <w:rPr>
                        <w:b/>
                        <w:iCs/>
                        <w:sz w:val="26"/>
                      </w:rPr>
                      <w:t>(</w:t>
                    </w:r>
                    <w:r w:rsidRPr="009C48F0">
                      <w:rPr>
                        <w:b/>
                        <w:iCs/>
                        <w:sz w:val="26"/>
                      </w:rPr>
                      <w:t>IJ</w:t>
                    </w:r>
                    <w:r>
                      <w:rPr>
                        <w:b/>
                        <w:iCs/>
                        <w:sz w:val="26"/>
                      </w:rPr>
                      <w:t>MCSIT</w:t>
                    </w:r>
                    <w:r w:rsidRPr="00E27238">
                      <w:rPr>
                        <w:b/>
                        <w:iCs/>
                        <w:sz w:val="26"/>
                      </w:rPr>
                      <w:t>)</w:t>
                    </w:r>
                  </w:p>
                </w:txbxContent>
              </v:textbox>
              <w10:wrap anchorx="margin" anchory="page"/>
            </v:shape>
          </w:pict>
        </mc:Fallback>
      </mc:AlternateContent>
    </w:r>
  </w:p>
  <w:bookmarkEnd w:id="0"/>
  <w:bookmarkEnd w:id="1"/>
  <w:p w14:paraId="3F950264" w14:textId="6028AC16" w:rsidR="00FA1393" w:rsidRPr="009167FF" w:rsidRDefault="00FA1393" w:rsidP="009167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854259"/>
    <w:multiLevelType w:val="hybridMultilevel"/>
    <w:tmpl w:val="A58EDEA8"/>
    <w:lvl w:ilvl="0" w:tplc="79DED83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03029C"/>
    <w:multiLevelType w:val="hybridMultilevel"/>
    <w:tmpl w:val="FE5EDFC8"/>
    <w:lvl w:ilvl="0" w:tplc="E92617F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4907C2"/>
    <w:multiLevelType w:val="hybridMultilevel"/>
    <w:tmpl w:val="08A897D0"/>
    <w:lvl w:ilvl="0" w:tplc="7D8AA44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157B65"/>
    <w:multiLevelType w:val="hybridMultilevel"/>
    <w:tmpl w:val="1A56CA1E"/>
    <w:lvl w:ilvl="0" w:tplc="7696F56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1908283">
    <w:abstractNumId w:val="3"/>
  </w:num>
  <w:num w:numId="2" w16cid:durableId="1304313895">
    <w:abstractNumId w:val="2"/>
  </w:num>
  <w:num w:numId="3" w16cid:durableId="669524245">
    <w:abstractNumId w:val="0"/>
  </w:num>
  <w:num w:numId="4" w16cid:durableId="70995563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C3A"/>
    <w:rsid w:val="00016A86"/>
    <w:rsid w:val="00061306"/>
    <w:rsid w:val="000650CB"/>
    <w:rsid w:val="000903E9"/>
    <w:rsid w:val="00091C81"/>
    <w:rsid w:val="000D4237"/>
    <w:rsid w:val="00134B2A"/>
    <w:rsid w:val="00201B0B"/>
    <w:rsid w:val="00225EDE"/>
    <w:rsid w:val="00261683"/>
    <w:rsid w:val="00285C6C"/>
    <w:rsid w:val="002E6306"/>
    <w:rsid w:val="002F08B0"/>
    <w:rsid w:val="00313A83"/>
    <w:rsid w:val="00316512"/>
    <w:rsid w:val="00326218"/>
    <w:rsid w:val="0033101F"/>
    <w:rsid w:val="003401A1"/>
    <w:rsid w:val="00346898"/>
    <w:rsid w:val="00347A86"/>
    <w:rsid w:val="0035118F"/>
    <w:rsid w:val="00366294"/>
    <w:rsid w:val="00372C95"/>
    <w:rsid w:val="003A55FA"/>
    <w:rsid w:val="003F60E3"/>
    <w:rsid w:val="004140BF"/>
    <w:rsid w:val="00430496"/>
    <w:rsid w:val="00442C40"/>
    <w:rsid w:val="00451B59"/>
    <w:rsid w:val="0045727C"/>
    <w:rsid w:val="004644D6"/>
    <w:rsid w:val="004838D0"/>
    <w:rsid w:val="00485B35"/>
    <w:rsid w:val="004D3CFC"/>
    <w:rsid w:val="004E5CAF"/>
    <w:rsid w:val="00502260"/>
    <w:rsid w:val="0050236C"/>
    <w:rsid w:val="00526B5B"/>
    <w:rsid w:val="0053393B"/>
    <w:rsid w:val="00534F4B"/>
    <w:rsid w:val="005467CF"/>
    <w:rsid w:val="005757D6"/>
    <w:rsid w:val="0058782D"/>
    <w:rsid w:val="00597956"/>
    <w:rsid w:val="005A3EA4"/>
    <w:rsid w:val="005D615F"/>
    <w:rsid w:val="005E08C6"/>
    <w:rsid w:val="005F2852"/>
    <w:rsid w:val="005F37E4"/>
    <w:rsid w:val="00617824"/>
    <w:rsid w:val="00626FB5"/>
    <w:rsid w:val="0063619B"/>
    <w:rsid w:val="0065700A"/>
    <w:rsid w:val="00695C3A"/>
    <w:rsid w:val="006D4EB0"/>
    <w:rsid w:val="006D7955"/>
    <w:rsid w:val="00700C63"/>
    <w:rsid w:val="007325CC"/>
    <w:rsid w:val="007715E3"/>
    <w:rsid w:val="007921C3"/>
    <w:rsid w:val="00797FCB"/>
    <w:rsid w:val="007C3243"/>
    <w:rsid w:val="00827CB0"/>
    <w:rsid w:val="00846870"/>
    <w:rsid w:val="008816F0"/>
    <w:rsid w:val="00882E07"/>
    <w:rsid w:val="0089457B"/>
    <w:rsid w:val="008B28B4"/>
    <w:rsid w:val="008D1DB5"/>
    <w:rsid w:val="008F5DFC"/>
    <w:rsid w:val="00915560"/>
    <w:rsid w:val="009167FF"/>
    <w:rsid w:val="00942FBE"/>
    <w:rsid w:val="00972BCB"/>
    <w:rsid w:val="009C48F0"/>
    <w:rsid w:val="00A21BCB"/>
    <w:rsid w:val="00A25114"/>
    <w:rsid w:val="00A30754"/>
    <w:rsid w:val="00A80504"/>
    <w:rsid w:val="00AD7935"/>
    <w:rsid w:val="00AF4A7C"/>
    <w:rsid w:val="00AF7B0E"/>
    <w:rsid w:val="00B02E17"/>
    <w:rsid w:val="00B064AC"/>
    <w:rsid w:val="00B178F3"/>
    <w:rsid w:val="00B30C4B"/>
    <w:rsid w:val="00B32310"/>
    <w:rsid w:val="00B45B37"/>
    <w:rsid w:val="00B51FE0"/>
    <w:rsid w:val="00B55CB8"/>
    <w:rsid w:val="00B66174"/>
    <w:rsid w:val="00B96CD8"/>
    <w:rsid w:val="00BA176C"/>
    <w:rsid w:val="00BD2BE7"/>
    <w:rsid w:val="00C2585B"/>
    <w:rsid w:val="00C26759"/>
    <w:rsid w:val="00C30AE7"/>
    <w:rsid w:val="00C55167"/>
    <w:rsid w:val="00C553D9"/>
    <w:rsid w:val="00C92591"/>
    <w:rsid w:val="00CB1042"/>
    <w:rsid w:val="00CB204C"/>
    <w:rsid w:val="00CD4424"/>
    <w:rsid w:val="00CF4B60"/>
    <w:rsid w:val="00D014B1"/>
    <w:rsid w:val="00D06C84"/>
    <w:rsid w:val="00D4351B"/>
    <w:rsid w:val="00D473EC"/>
    <w:rsid w:val="00D523D6"/>
    <w:rsid w:val="00D6688F"/>
    <w:rsid w:val="00D735F3"/>
    <w:rsid w:val="00D76A61"/>
    <w:rsid w:val="00DB3534"/>
    <w:rsid w:val="00DC1370"/>
    <w:rsid w:val="00DC45FF"/>
    <w:rsid w:val="00DD161C"/>
    <w:rsid w:val="00DD2B28"/>
    <w:rsid w:val="00DE678F"/>
    <w:rsid w:val="00DF4B5A"/>
    <w:rsid w:val="00E47138"/>
    <w:rsid w:val="00E515D3"/>
    <w:rsid w:val="00E54490"/>
    <w:rsid w:val="00E5488F"/>
    <w:rsid w:val="00E56CF8"/>
    <w:rsid w:val="00E57F6B"/>
    <w:rsid w:val="00ED420D"/>
    <w:rsid w:val="00F24D59"/>
    <w:rsid w:val="00F258E2"/>
    <w:rsid w:val="00F420FA"/>
    <w:rsid w:val="00F43302"/>
    <w:rsid w:val="00F43F34"/>
    <w:rsid w:val="00F62476"/>
    <w:rsid w:val="00FA0E65"/>
    <w:rsid w:val="00FA1393"/>
    <w:rsid w:val="00FA14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AEAFD"/>
  <w15:docId w15:val="{F0AAD96F-5842-45C9-B39D-1AB1C4A45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42"/>
      <w:outlineLvl w:val="0"/>
    </w:pPr>
    <w:rPr>
      <w:rFonts w:ascii="Arial MT" w:eastAsia="Arial MT" w:hAnsi="Arial MT" w:cs="Arial MT"/>
      <w:sz w:val="27"/>
      <w:szCs w:val="27"/>
    </w:rPr>
  </w:style>
  <w:style w:type="paragraph" w:styleId="Heading2">
    <w:name w:val="heading 2"/>
    <w:basedOn w:val="Normal"/>
    <w:uiPriority w:val="9"/>
    <w:unhideWhenUsed/>
    <w:qFormat/>
    <w:pPr>
      <w:ind w:left="142"/>
      <w:jc w:val="both"/>
      <w:outlineLvl w:val="1"/>
    </w:pPr>
    <w:rPr>
      <w:rFonts w:ascii="Arial MT" w:eastAsia="Arial MT" w:hAnsi="Arial MT" w:cs="Arial MT"/>
      <w:sz w:val="24"/>
      <w:szCs w:val="24"/>
    </w:rPr>
  </w:style>
  <w:style w:type="paragraph" w:styleId="Heading3">
    <w:name w:val="heading 3"/>
    <w:basedOn w:val="Normal"/>
    <w:next w:val="Normal"/>
    <w:link w:val="Heading3Char"/>
    <w:uiPriority w:val="9"/>
    <w:semiHidden/>
    <w:unhideWhenUsed/>
    <w:qFormat/>
    <w:rsid w:val="0045727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76"/>
      <w:ind w:left="142" w:right="121"/>
    </w:pPr>
    <w:rPr>
      <w:rFonts w:ascii="Arial MT" w:eastAsia="Arial MT" w:hAnsi="Arial MT" w:cs="Arial MT"/>
      <w:sz w:val="42"/>
      <w:szCs w:val="42"/>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26759"/>
    <w:pPr>
      <w:tabs>
        <w:tab w:val="center" w:pos="4513"/>
        <w:tab w:val="right" w:pos="9026"/>
      </w:tabs>
    </w:pPr>
  </w:style>
  <w:style w:type="character" w:customStyle="1" w:styleId="HeaderChar">
    <w:name w:val="Header Char"/>
    <w:basedOn w:val="DefaultParagraphFont"/>
    <w:link w:val="Header"/>
    <w:uiPriority w:val="99"/>
    <w:rsid w:val="00C26759"/>
    <w:rPr>
      <w:rFonts w:ascii="Times New Roman" w:eastAsia="Times New Roman" w:hAnsi="Times New Roman" w:cs="Times New Roman"/>
    </w:rPr>
  </w:style>
  <w:style w:type="paragraph" w:styleId="Footer">
    <w:name w:val="footer"/>
    <w:basedOn w:val="Normal"/>
    <w:link w:val="FooterChar"/>
    <w:uiPriority w:val="99"/>
    <w:unhideWhenUsed/>
    <w:rsid w:val="00C26759"/>
    <w:pPr>
      <w:tabs>
        <w:tab w:val="center" w:pos="4513"/>
        <w:tab w:val="right" w:pos="9026"/>
      </w:tabs>
    </w:pPr>
  </w:style>
  <w:style w:type="character" w:customStyle="1" w:styleId="FooterChar">
    <w:name w:val="Footer Char"/>
    <w:basedOn w:val="DefaultParagraphFont"/>
    <w:link w:val="Footer"/>
    <w:uiPriority w:val="99"/>
    <w:rsid w:val="00C26759"/>
    <w:rPr>
      <w:rFonts w:ascii="Times New Roman" w:eastAsia="Times New Roman" w:hAnsi="Times New Roman" w:cs="Times New Roman"/>
    </w:rPr>
  </w:style>
  <w:style w:type="character" w:styleId="Hyperlink">
    <w:name w:val="Hyperlink"/>
    <w:basedOn w:val="DefaultParagraphFont"/>
    <w:uiPriority w:val="99"/>
    <w:unhideWhenUsed/>
    <w:rsid w:val="00CF4B60"/>
    <w:rPr>
      <w:color w:val="0000FF" w:themeColor="hyperlink"/>
      <w:u w:val="single"/>
    </w:rPr>
  </w:style>
  <w:style w:type="character" w:styleId="UnresolvedMention">
    <w:name w:val="Unresolved Mention"/>
    <w:basedOn w:val="DefaultParagraphFont"/>
    <w:uiPriority w:val="99"/>
    <w:semiHidden/>
    <w:unhideWhenUsed/>
    <w:rsid w:val="00CF4B60"/>
    <w:rPr>
      <w:color w:val="605E5C"/>
      <w:shd w:val="clear" w:color="auto" w:fill="E1DFDD"/>
    </w:rPr>
  </w:style>
  <w:style w:type="table" w:styleId="TableGrid">
    <w:name w:val="Table Grid"/>
    <w:basedOn w:val="TableNormal"/>
    <w:uiPriority w:val="39"/>
    <w:rsid w:val="00326218"/>
    <w:pPr>
      <w:widowControl/>
      <w:autoSpaceDE/>
      <w:autoSpaceDN/>
    </w:pPr>
    <w:rPr>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310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101F"/>
    <w:rPr>
      <w:rFonts w:ascii="Segoe UI" w:eastAsia="Times New Roman" w:hAnsi="Segoe UI" w:cs="Segoe UI"/>
      <w:sz w:val="18"/>
      <w:szCs w:val="18"/>
    </w:rPr>
  </w:style>
  <w:style w:type="character" w:customStyle="1" w:styleId="ListParagraphChar">
    <w:name w:val="List Paragraph Char"/>
    <w:link w:val="ListParagraph"/>
    <w:uiPriority w:val="34"/>
    <w:locked/>
    <w:rsid w:val="00E56CF8"/>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45727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76540">
      <w:bodyDiv w:val="1"/>
      <w:marLeft w:val="0"/>
      <w:marRight w:val="0"/>
      <w:marTop w:val="0"/>
      <w:marBottom w:val="0"/>
      <w:divBdr>
        <w:top w:val="none" w:sz="0" w:space="0" w:color="auto"/>
        <w:left w:val="none" w:sz="0" w:space="0" w:color="auto"/>
        <w:bottom w:val="none" w:sz="0" w:space="0" w:color="auto"/>
        <w:right w:val="none" w:sz="0" w:space="0" w:color="auto"/>
      </w:divBdr>
      <w:divsChild>
        <w:div w:id="799571243">
          <w:marLeft w:val="0"/>
          <w:marRight w:val="0"/>
          <w:marTop w:val="0"/>
          <w:marBottom w:val="0"/>
          <w:divBdr>
            <w:top w:val="none" w:sz="0" w:space="0" w:color="auto"/>
            <w:left w:val="none" w:sz="0" w:space="0" w:color="auto"/>
            <w:bottom w:val="none" w:sz="0" w:space="0" w:color="auto"/>
            <w:right w:val="none" w:sz="0" w:space="0" w:color="auto"/>
          </w:divBdr>
        </w:div>
      </w:divsChild>
    </w:div>
    <w:div w:id="2103257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aimjournals.com/index.php/ijmcsit" TargetMode="External"/><Relationship Id="rId1" Type="http://schemas.openxmlformats.org/officeDocument/2006/relationships/hyperlink" Target="https://aimjournals.com/index.php/ijmcs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438C7-DF5E-4B89-93AE-83770FCC8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3673</Words>
  <Characters>20941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MDCI</dc:creator>
  <cp:keywords>acoustofluidics, capillary waves, capillary wave turbulence, zakharov-kolmogorov turbulence, nonlinear resonance broadening, faraday waves, atomization</cp:keywords>
  <cp:lastModifiedBy>Vijay Patidar</cp:lastModifiedBy>
  <cp:revision>2</cp:revision>
  <cp:lastPrinted>2025-06-27T13:35:00Z</cp:lastPrinted>
  <dcterms:created xsi:type="dcterms:W3CDTF">2026-06-05T10:33:00Z</dcterms:created>
  <dcterms:modified xsi:type="dcterms:W3CDTF">2026-06-05T10:33:00Z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2024-12-18T00:00:00Z</vt:filetime>
  </property>
  <property fmtid="{D5CDD505-2E9C-101B-9397-08002B2CF9AE}" pid="3" name="Creator">
    <vt:lpwstr>Arbortext Advanced Print Publisher 9.1.510/W Unicode</vt:lpwstr>
  </property>
  <property fmtid="{D5CDD505-2E9C-101B-9397-08002B2CF9AE}" pid="4" name="LastSaved">
    <vt:filetime>2025-01-01T00:00:00Z</vt:filetime>
  </property>
  <property fmtid="{D5CDD505-2E9C-101B-9397-08002B2CF9AE}" pid="5" name="Producer">
    <vt:lpwstr>Acrobat Distiller 7.0 (Windows)</vt:lpwstr>
  </property>
</Properties>
</file>